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B0712" w14:textId="77777777" w:rsidR="00017C7C" w:rsidRPr="00022480" w:rsidRDefault="00901ABC" w:rsidP="00022480">
      <w:pPr>
        <w:spacing w:after="120"/>
        <w:contextualSpacing/>
        <w:jc w:val="both"/>
      </w:pPr>
      <w:bookmarkStart w:id="0" w:name="_GoBack"/>
      <w:bookmarkEnd w:id="0"/>
      <w:r w:rsidRPr="00022480">
        <w:rPr>
          <w:noProof/>
          <w:lang w:val="de-DE" w:eastAsia="de-DE"/>
        </w:rPr>
        <w:drawing>
          <wp:inline distT="0" distB="0" distL="0" distR="0" wp14:anchorId="6EE36027" wp14:editId="23ECA99D">
            <wp:extent cx="5727700" cy="332105"/>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09-11 at 11.46.04.png"/>
                    <pic:cNvPicPr/>
                  </pic:nvPicPr>
                  <pic:blipFill>
                    <a:blip r:embed="rId7">
                      <a:extLst>
                        <a:ext uri="{28A0092B-C50C-407E-A947-70E740481C1C}">
                          <a14:useLocalDpi xmlns:a14="http://schemas.microsoft.com/office/drawing/2010/main" val="0"/>
                        </a:ext>
                      </a:extLst>
                    </a:blip>
                    <a:stretch>
                      <a:fillRect/>
                    </a:stretch>
                  </pic:blipFill>
                  <pic:spPr>
                    <a:xfrm>
                      <a:off x="0" y="0"/>
                      <a:ext cx="5727700" cy="332105"/>
                    </a:xfrm>
                    <a:prstGeom prst="rect">
                      <a:avLst/>
                    </a:prstGeom>
                  </pic:spPr>
                </pic:pic>
              </a:graphicData>
            </a:graphic>
          </wp:inline>
        </w:drawing>
      </w:r>
    </w:p>
    <w:p w14:paraId="2EAB058C" w14:textId="77777777" w:rsidR="0061548B" w:rsidRPr="00022480" w:rsidRDefault="0061548B" w:rsidP="00022480">
      <w:pPr>
        <w:spacing w:after="120"/>
        <w:contextualSpacing/>
        <w:jc w:val="both"/>
        <w:rPr>
          <w:noProof/>
          <w:lang w:eastAsia="en-US"/>
        </w:rPr>
      </w:pPr>
    </w:p>
    <w:p w14:paraId="720094B0" w14:textId="77777777" w:rsidR="00143375" w:rsidRPr="00022480" w:rsidRDefault="0054201B" w:rsidP="00022480">
      <w:pPr>
        <w:spacing w:after="120"/>
        <w:contextualSpacing/>
        <w:jc w:val="center"/>
        <w:rPr>
          <w:b/>
          <w:sz w:val="28"/>
        </w:rPr>
      </w:pPr>
      <w:r w:rsidRPr="00022480">
        <w:rPr>
          <w:b/>
          <w:sz w:val="28"/>
        </w:rPr>
        <w:t>Journal of Law, Finance, and Accounting (JLFA)</w:t>
      </w:r>
    </w:p>
    <w:p w14:paraId="1B55130F" w14:textId="77777777" w:rsidR="0054201B" w:rsidRPr="00022480" w:rsidRDefault="0054201B" w:rsidP="00022480">
      <w:pPr>
        <w:spacing w:after="120"/>
        <w:contextualSpacing/>
        <w:jc w:val="center"/>
        <w:rPr>
          <w:b/>
          <w:sz w:val="28"/>
        </w:rPr>
      </w:pPr>
      <w:r w:rsidRPr="00022480">
        <w:rPr>
          <w:b/>
          <w:sz w:val="28"/>
        </w:rPr>
        <w:t>2018 Conference Announcement and Call for Papers</w:t>
      </w:r>
    </w:p>
    <w:p w14:paraId="29C8E850" w14:textId="77777777" w:rsidR="00143375" w:rsidRPr="00022480" w:rsidRDefault="00143375" w:rsidP="00022480">
      <w:pPr>
        <w:spacing w:after="120"/>
        <w:contextualSpacing/>
        <w:jc w:val="center"/>
        <w:rPr>
          <w:b/>
          <w:bCs/>
          <w:sz w:val="28"/>
        </w:rPr>
      </w:pPr>
      <w:r w:rsidRPr="00022480">
        <w:rPr>
          <w:b/>
          <w:noProof/>
          <w:sz w:val="28"/>
          <w:lang w:val="de-DE" w:eastAsia="de-DE"/>
        </w:rPr>
        <mc:AlternateContent>
          <mc:Choice Requires="wps">
            <w:drawing>
              <wp:anchor distT="0" distB="0" distL="114300" distR="114300" simplePos="0" relativeHeight="251664384" behindDoc="0" locked="0" layoutInCell="1" allowOverlap="1" wp14:anchorId="49339FCF" wp14:editId="5C86B5BE">
                <wp:simplePos x="0" y="0"/>
                <wp:positionH relativeFrom="column">
                  <wp:posOffset>1257300</wp:posOffset>
                </wp:positionH>
                <wp:positionV relativeFrom="paragraph">
                  <wp:posOffset>27305</wp:posOffset>
                </wp:positionV>
                <wp:extent cx="3086100" cy="0"/>
                <wp:effectExtent l="50800" t="25400" r="63500" b="101600"/>
                <wp:wrapNone/>
                <wp:docPr id="7" name="Straight Connector 7"/>
                <wp:cNvGraphicFramePr/>
                <a:graphic xmlns:a="http://schemas.openxmlformats.org/drawingml/2006/main">
                  <a:graphicData uri="http://schemas.microsoft.com/office/word/2010/wordprocessingShape">
                    <wps:wsp>
                      <wps:cNvCnPr/>
                      <wps:spPr>
                        <a:xfrm>
                          <a:off x="0" y="0"/>
                          <a:ext cx="3086100" cy="0"/>
                        </a:xfrm>
                        <a:prstGeom prst="line">
                          <a:avLst/>
                        </a:prstGeom>
                        <a:ln>
                          <a:solidFill>
                            <a:srgbClr val="953735"/>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009F7304"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9pt,2.15pt" to="3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" strokecolor="#953735" strokeweight="2pt">
                <v:shadow on="t" color="black" opacity="24903f" origin=",.5" offset="0,.55556mm"/>
              </v:line>
            </w:pict>
          </mc:Fallback>
        </mc:AlternateContent>
      </w:r>
    </w:p>
    <w:p w14:paraId="1B8511F1" w14:textId="77777777" w:rsidR="0054201B" w:rsidRPr="00022480" w:rsidRDefault="0054201B" w:rsidP="00022480">
      <w:pPr>
        <w:spacing w:after="120"/>
        <w:contextualSpacing/>
        <w:jc w:val="center"/>
        <w:rPr>
          <w:b/>
          <w:bCs/>
          <w:sz w:val="28"/>
        </w:rPr>
      </w:pPr>
      <w:r w:rsidRPr="00022480">
        <w:rPr>
          <w:b/>
          <w:bCs/>
          <w:sz w:val="28"/>
        </w:rPr>
        <w:t>July 5 &amp; 6</w:t>
      </w:r>
      <w:r w:rsidR="009E79DE" w:rsidRPr="00022480">
        <w:rPr>
          <w:b/>
          <w:bCs/>
          <w:sz w:val="28"/>
        </w:rPr>
        <w:t xml:space="preserve">, </w:t>
      </w:r>
      <w:r w:rsidRPr="00022480">
        <w:rPr>
          <w:b/>
          <w:bCs/>
          <w:sz w:val="28"/>
        </w:rPr>
        <w:t>2018</w:t>
      </w:r>
    </w:p>
    <w:p w14:paraId="5B0E0BF6" w14:textId="4C3A3101" w:rsidR="00143375" w:rsidRPr="00022480" w:rsidRDefault="0054201B" w:rsidP="00022480">
      <w:pPr>
        <w:spacing w:after="120"/>
        <w:contextualSpacing/>
        <w:jc w:val="center"/>
        <w:rPr>
          <w:sz w:val="28"/>
          <w:lang w:val="en-AU"/>
        </w:rPr>
      </w:pPr>
      <w:r w:rsidRPr="00022480">
        <w:rPr>
          <w:b/>
          <w:bCs/>
          <w:sz w:val="28"/>
        </w:rPr>
        <w:t xml:space="preserve">Department of Economics and Management | University of Padova </w:t>
      </w:r>
      <w:r w:rsidR="00143375" w:rsidRPr="00022480">
        <w:rPr>
          <w:b/>
          <w:bCs/>
          <w:sz w:val="28"/>
        </w:rPr>
        <w:t>(ITA)</w:t>
      </w:r>
    </w:p>
    <w:p w14:paraId="44EDCC29" w14:textId="77777777" w:rsidR="00143375" w:rsidRPr="00022480" w:rsidRDefault="00143375" w:rsidP="00022480">
      <w:pPr>
        <w:spacing w:after="120"/>
        <w:contextualSpacing/>
        <w:jc w:val="both"/>
      </w:pPr>
    </w:p>
    <w:p w14:paraId="71BE1B08" w14:textId="77777777" w:rsidR="00143375" w:rsidRPr="00022480" w:rsidRDefault="00143375" w:rsidP="00022480">
      <w:pPr>
        <w:spacing w:after="120"/>
        <w:contextualSpacing/>
        <w:jc w:val="both"/>
      </w:pPr>
    </w:p>
    <w:p w14:paraId="251FEF74" w14:textId="35934D09" w:rsidR="00C70806" w:rsidRPr="00562F72" w:rsidRDefault="0054201B" w:rsidP="00562F72">
      <w:pPr>
        <w:contextualSpacing/>
        <w:jc w:val="both"/>
      </w:pPr>
      <w:r w:rsidRPr="00562F72">
        <w:t xml:space="preserve">The Journal of Law, Finance, and Accounting (JLFA) is pleased to announce its </w:t>
      </w:r>
      <w:r w:rsidR="00EB303E" w:rsidRPr="00562F72">
        <w:t>seventh</w:t>
      </w:r>
      <w:r w:rsidRPr="00562F72">
        <w:t xml:space="preserve"> conference</w:t>
      </w:r>
      <w:r w:rsidR="00EB303E" w:rsidRPr="00562F72">
        <w:t xml:space="preserve">, to be held at the </w:t>
      </w:r>
      <w:hyperlink r:id="rId8" w:history="1">
        <w:r w:rsidR="00EB303E" w:rsidRPr="00562F72">
          <w:rPr>
            <w:rStyle w:val="Link"/>
          </w:rPr>
          <w:t>University of Padova</w:t>
        </w:r>
      </w:hyperlink>
      <w:r w:rsidR="00EB303E" w:rsidRPr="00562F72">
        <w:t xml:space="preserve"> (Italy) on </w:t>
      </w:r>
      <w:r w:rsidR="00EB303E" w:rsidRPr="00562F72">
        <w:rPr>
          <w:b/>
        </w:rPr>
        <w:t>Thursday July 5</w:t>
      </w:r>
      <w:r w:rsidR="00EB303E" w:rsidRPr="00562F72">
        <w:rPr>
          <w:b/>
          <w:vertAlign w:val="superscript"/>
        </w:rPr>
        <w:t>th</w:t>
      </w:r>
      <w:r w:rsidR="00EB303E" w:rsidRPr="00562F72">
        <w:rPr>
          <w:b/>
        </w:rPr>
        <w:t xml:space="preserve"> and Friday July 6</w:t>
      </w:r>
      <w:r w:rsidR="00EB303E" w:rsidRPr="00562F72">
        <w:rPr>
          <w:b/>
          <w:vertAlign w:val="superscript"/>
        </w:rPr>
        <w:t>th</w:t>
      </w:r>
      <w:r w:rsidR="00EB303E" w:rsidRPr="00562F72">
        <w:rPr>
          <w:b/>
        </w:rPr>
        <w:t>, 2018</w:t>
      </w:r>
      <w:r w:rsidR="00EB303E" w:rsidRPr="00562F72">
        <w:t xml:space="preserve">. The </w:t>
      </w:r>
      <w:r w:rsidR="00C70806" w:rsidRPr="00562F72">
        <w:t>co</w:t>
      </w:r>
      <w:r w:rsidR="00EB303E" w:rsidRPr="00562F72">
        <w:t xml:space="preserve">nference is co-organized by the </w:t>
      </w:r>
      <w:hyperlink r:id="rId9" w:history="1">
        <w:r w:rsidR="00EB303E" w:rsidRPr="00562F72">
          <w:rPr>
            <w:rStyle w:val="Link"/>
          </w:rPr>
          <w:t>Faculty of Economics</w:t>
        </w:r>
        <w:r w:rsidR="00F3441A" w:rsidRPr="00562F72">
          <w:rPr>
            <w:rStyle w:val="Link"/>
          </w:rPr>
          <w:t xml:space="preserve"> and Management</w:t>
        </w:r>
      </w:hyperlink>
      <w:r w:rsidR="00EB303E" w:rsidRPr="00562F72">
        <w:t xml:space="preserve"> (University of Bolzano) and the </w:t>
      </w:r>
      <w:hyperlink r:id="rId10" w:history="1">
        <w:r w:rsidR="00EB303E" w:rsidRPr="00562F72">
          <w:rPr>
            <w:rStyle w:val="Link"/>
          </w:rPr>
          <w:t>Department of Economics and Management</w:t>
        </w:r>
      </w:hyperlink>
      <w:r w:rsidR="00EB303E" w:rsidRPr="00562F72">
        <w:t xml:space="preserve"> (University of Padova) as part of the </w:t>
      </w:r>
      <w:r w:rsidR="00EB303E" w:rsidRPr="00562F72">
        <w:rPr>
          <w:i/>
        </w:rPr>
        <w:t>Accounting Summer Camp</w:t>
      </w:r>
      <w:r w:rsidR="00714EC3" w:rsidRPr="00562F72">
        <w:t>.</w:t>
      </w:r>
    </w:p>
    <w:p w14:paraId="5531FE32" w14:textId="77777777" w:rsidR="00C70806" w:rsidRPr="00562F72" w:rsidRDefault="00C70806" w:rsidP="00562F72">
      <w:pPr>
        <w:contextualSpacing/>
        <w:jc w:val="both"/>
      </w:pPr>
    </w:p>
    <w:p w14:paraId="79F1A1D2" w14:textId="5AEF3C44" w:rsidR="00C70806" w:rsidRPr="00562F72" w:rsidRDefault="00C70806" w:rsidP="00562F72">
      <w:pPr>
        <w:contextualSpacing/>
        <w:jc w:val="both"/>
      </w:pPr>
      <w:r w:rsidRPr="00562F72">
        <w:t xml:space="preserve">JLFA is an interdisciplinary journal sponsored by the NYU Stern School of Business and the NYU School of Law. It seeks to publish top-quality empirical, theoretical, and policy-oriented scholarship at the intersection of law, finance and accounting. </w:t>
      </w:r>
      <w:commentRangeStart w:id="1"/>
      <w:r w:rsidRPr="00562F72">
        <w:t>Prior</w:t>
      </w:r>
      <w:commentRangeEnd w:id="1"/>
      <w:r w:rsidR="00801EAF" w:rsidRPr="00562F72">
        <w:rPr>
          <w:rStyle w:val="Kommentarzeichen"/>
          <w:sz w:val="24"/>
          <w:szCs w:val="24"/>
        </w:rPr>
        <w:commentReference w:id="1"/>
      </w:r>
      <w:r w:rsidRPr="00562F72">
        <w:t xml:space="preserve"> JLFA conferences were held at New York University (2014), Hong Kong Polytechnic University (2015</w:t>
      </w:r>
      <w:r w:rsidR="00EB303E" w:rsidRPr="00562F72">
        <w:t>, 2017</w:t>
      </w:r>
      <w:r w:rsidRPr="00562F72">
        <w:t>), Harvard University (2015), Northwestern Law School (2016) and London Business Sch</w:t>
      </w:r>
      <w:r w:rsidR="00926B3E">
        <w:t>ool (</w:t>
      </w:r>
      <w:r w:rsidRPr="00562F72">
        <w:t>2017).</w:t>
      </w:r>
    </w:p>
    <w:p w14:paraId="45D9F771" w14:textId="77777777" w:rsidR="00C70806" w:rsidRPr="00562F72" w:rsidRDefault="00C70806" w:rsidP="00562F72">
      <w:pPr>
        <w:contextualSpacing/>
        <w:jc w:val="both"/>
      </w:pPr>
    </w:p>
    <w:p w14:paraId="55F67128" w14:textId="77777777" w:rsidR="00C70806" w:rsidRPr="00562F72" w:rsidRDefault="00C70806" w:rsidP="00562F72">
      <w:pPr>
        <w:contextualSpacing/>
        <w:jc w:val="both"/>
      </w:pPr>
      <w:r w:rsidRPr="00562F72">
        <w:t xml:space="preserve">JLFA is an open-access publication. Papers can be downloaded without charge; see </w:t>
      </w:r>
      <w:hyperlink r:id="rId13" w:history="1">
        <w:r w:rsidRPr="00562F72">
          <w:rPr>
            <w:rStyle w:val="Link"/>
          </w:rPr>
          <w:t>www.jlfaonline.com</w:t>
        </w:r>
      </w:hyperlink>
      <w:r w:rsidRPr="00562F72">
        <w:t xml:space="preserve"> for additional information about JLFA; this link also lets you access the papers from our first two issue, published in 2016 and 2017.</w:t>
      </w:r>
    </w:p>
    <w:p w14:paraId="6A5FF3D4" w14:textId="77777777" w:rsidR="00C70806" w:rsidRPr="00562F72" w:rsidRDefault="00C70806" w:rsidP="00562F72">
      <w:pPr>
        <w:contextualSpacing/>
        <w:jc w:val="both"/>
      </w:pPr>
    </w:p>
    <w:p w14:paraId="7E1A0638" w14:textId="77777777" w:rsidR="00C70806" w:rsidRPr="00562F72" w:rsidRDefault="00C70806" w:rsidP="00562F72">
      <w:pPr>
        <w:contextualSpacing/>
        <w:jc w:val="both"/>
      </w:pPr>
      <w:r w:rsidRPr="00562F72">
        <w:t>You are invited to submit your original, unpublished papers for presentation at the conference. Accepted papers will be eligible for expedited review and consideration for publication in JLFA. In choosing papers for presentation at the conference, we will give priority to papers which the authors wish to submit to JLFA for consideration for publication. Publication is at the editors’ discretion.</w:t>
      </w:r>
    </w:p>
    <w:p w14:paraId="476D9C5D" w14:textId="77777777" w:rsidR="00C70806" w:rsidRPr="00562F72" w:rsidRDefault="00C70806" w:rsidP="00562F72">
      <w:pPr>
        <w:contextualSpacing/>
        <w:jc w:val="both"/>
      </w:pPr>
    </w:p>
    <w:p w14:paraId="531465BD" w14:textId="0AD67DBA" w:rsidR="00C70806" w:rsidRPr="00562F72" w:rsidRDefault="00C70806" w:rsidP="00562F72">
      <w:pPr>
        <w:contextualSpacing/>
        <w:rPr>
          <w:rFonts w:eastAsia="Times New Roman"/>
        </w:rPr>
      </w:pPr>
      <w:r w:rsidRPr="00562F72">
        <w:t xml:space="preserve">The deadline for submission is </w:t>
      </w:r>
      <w:r w:rsidRPr="00562F72">
        <w:rPr>
          <w:b/>
        </w:rPr>
        <w:t xml:space="preserve">Monday </w:t>
      </w:r>
      <w:r w:rsidR="00E47A11" w:rsidRPr="00562F72">
        <w:rPr>
          <w:b/>
        </w:rPr>
        <w:t>March</w:t>
      </w:r>
      <w:r w:rsidRPr="00562F72">
        <w:rPr>
          <w:b/>
        </w:rPr>
        <w:t xml:space="preserve"> </w:t>
      </w:r>
      <w:r w:rsidR="00E47A11" w:rsidRPr="00562F72">
        <w:rPr>
          <w:b/>
        </w:rPr>
        <w:t>5th</w:t>
      </w:r>
      <w:r w:rsidRPr="00562F72">
        <w:rPr>
          <w:b/>
        </w:rPr>
        <w:t>, 2018</w:t>
      </w:r>
      <w:r w:rsidRPr="00562F72">
        <w:t xml:space="preserve">. Please submit papers through SSRN at </w:t>
      </w:r>
      <w:hyperlink r:id="rId14" w:history="1">
        <w:r w:rsidR="00130A45" w:rsidRPr="00562F72">
          <w:rPr>
            <w:rStyle w:val="Link"/>
            <w:rFonts w:eastAsia="Times New Roman"/>
          </w:rPr>
          <w:t>https://hq.ssrn.com/conference=JLFA-2018</w:t>
        </w:r>
      </w:hyperlink>
      <w:r w:rsidR="00130A45" w:rsidRPr="00562F72">
        <w:rPr>
          <w:rFonts w:eastAsia="Times New Roman"/>
        </w:rPr>
        <w:t>.</w:t>
      </w:r>
    </w:p>
    <w:p w14:paraId="508FE837" w14:textId="77777777" w:rsidR="00C70806" w:rsidRPr="00562F72" w:rsidRDefault="00C70806" w:rsidP="00562F72">
      <w:pPr>
        <w:contextualSpacing/>
        <w:jc w:val="both"/>
      </w:pPr>
    </w:p>
    <w:p w14:paraId="3BCC56AE" w14:textId="77777777" w:rsidR="00C70806" w:rsidRPr="00562F72" w:rsidRDefault="00C70806" w:rsidP="00562F72">
      <w:pPr>
        <w:contextualSpacing/>
        <w:jc w:val="both"/>
      </w:pPr>
      <w:r w:rsidRPr="00562F72">
        <w:t>Topics of interest include, but are not limited to:</w:t>
      </w:r>
    </w:p>
    <w:p w14:paraId="29261CBE" w14:textId="77777777" w:rsidR="00022480" w:rsidRPr="00562F72" w:rsidRDefault="00022480" w:rsidP="00562F72">
      <w:pPr>
        <w:contextualSpacing/>
        <w:jc w:val="both"/>
      </w:pPr>
    </w:p>
    <w:p w14:paraId="36295C19" w14:textId="77777777" w:rsidR="00C70806" w:rsidRPr="00562F72" w:rsidRDefault="00C70806" w:rsidP="00562F72">
      <w:pPr>
        <w:contextualSpacing/>
        <w:jc w:val="both"/>
      </w:pPr>
      <w:r w:rsidRPr="00562F72">
        <w:t>1. The impact of the structure of the legal system — including legal origins, procedural rules, and the legal environment in general, on the evolution of financial contracts, financial markets, business enterprises and business groups.</w:t>
      </w:r>
    </w:p>
    <w:p w14:paraId="6BBEF1F6" w14:textId="77777777" w:rsidR="00C70806" w:rsidRPr="00562F72" w:rsidRDefault="00C70806" w:rsidP="00562F72">
      <w:pPr>
        <w:contextualSpacing/>
        <w:jc w:val="both"/>
      </w:pPr>
      <w:r w:rsidRPr="00562F72">
        <w:t>2. The impact of particular legal and market institutions, including accounting, on financial markets and corporate actions, and innovation, economic growth and stability.</w:t>
      </w:r>
    </w:p>
    <w:p w14:paraId="17556421" w14:textId="77777777" w:rsidR="00C70806" w:rsidRPr="00562F72" w:rsidRDefault="00C70806" w:rsidP="00562F72">
      <w:pPr>
        <w:contextualSpacing/>
        <w:jc w:val="both"/>
      </w:pPr>
      <w:r w:rsidRPr="00562F72">
        <w:t>3. The co-evolution of the legal rules and market institutions that govern financial sector activity, that activity itself, and the nature of the broader economy and financial markets.</w:t>
      </w:r>
    </w:p>
    <w:p w14:paraId="56094D0B" w14:textId="77777777" w:rsidR="00562F72" w:rsidRDefault="00C70806" w:rsidP="00562F72">
      <w:pPr>
        <w:contextualSpacing/>
        <w:jc w:val="both"/>
      </w:pPr>
      <w:r w:rsidRPr="00562F72">
        <w:t>4. The regulation, organization, and performance of financial institutions.</w:t>
      </w:r>
      <w:r w:rsidR="00562F72">
        <w:t xml:space="preserve"> </w:t>
      </w:r>
    </w:p>
    <w:p w14:paraId="08DC50C9" w14:textId="3DDD7A8F" w:rsidR="00C70806" w:rsidRPr="00562F72" w:rsidRDefault="00C70806" w:rsidP="00562F72">
      <w:pPr>
        <w:contextualSpacing/>
        <w:jc w:val="both"/>
      </w:pPr>
      <w:r w:rsidRPr="00562F72">
        <w:t>5. The relationships between the structure and performance of financial institutions, and the performance of these institutions and the overall performance of financial markets and economies.</w:t>
      </w:r>
    </w:p>
    <w:p w14:paraId="0713D8E9" w14:textId="77777777" w:rsidR="00C70806" w:rsidRPr="00562F72" w:rsidRDefault="00C70806" w:rsidP="00562F72">
      <w:pPr>
        <w:contextualSpacing/>
        <w:jc w:val="both"/>
      </w:pPr>
      <w:r w:rsidRPr="00562F72">
        <w:lastRenderedPageBreak/>
        <w:t>6. The interplay between legal rules, accounting regulations, corporate governance, firm performance, cost of equity and debt capital, financial market performance, and economic performance.</w:t>
      </w:r>
    </w:p>
    <w:p w14:paraId="1F75045D" w14:textId="77777777" w:rsidR="00C70806" w:rsidRPr="00562F72" w:rsidRDefault="00C70806" w:rsidP="00562F72">
      <w:pPr>
        <w:contextualSpacing/>
        <w:jc w:val="both"/>
      </w:pPr>
      <w:r w:rsidRPr="00562F72">
        <w:t>7. The political economy of the regulation of corporate governance, financial institutions, and financial markets.</w:t>
      </w:r>
    </w:p>
    <w:p w14:paraId="67353395" w14:textId="77777777" w:rsidR="00C70806" w:rsidRPr="00562F72" w:rsidRDefault="00C70806" w:rsidP="00562F72">
      <w:pPr>
        <w:contextualSpacing/>
        <w:jc w:val="both"/>
      </w:pPr>
      <w:r w:rsidRPr="00562F72">
        <w:t xml:space="preserve">8. Accounting, finance, and legal issues concerning ownership and property. </w:t>
      </w:r>
    </w:p>
    <w:p w14:paraId="7F08C61F" w14:textId="77777777" w:rsidR="00C70806" w:rsidRPr="00562F72" w:rsidRDefault="00C70806" w:rsidP="00562F72">
      <w:pPr>
        <w:contextualSpacing/>
        <w:jc w:val="both"/>
      </w:pPr>
    </w:p>
    <w:p w14:paraId="0EA5A227" w14:textId="77777777" w:rsidR="00C70806" w:rsidRPr="00562F72" w:rsidRDefault="00C70806" w:rsidP="00562F72">
      <w:pPr>
        <w:contextualSpacing/>
        <w:jc w:val="both"/>
      </w:pPr>
    </w:p>
    <w:p w14:paraId="034A74A2" w14:textId="77777777" w:rsidR="00C70806" w:rsidRPr="00562F72" w:rsidRDefault="00C70806" w:rsidP="00562F72">
      <w:pPr>
        <w:contextualSpacing/>
        <w:jc w:val="both"/>
        <w:rPr>
          <w:b/>
        </w:rPr>
      </w:pPr>
      <w:r w:rsidRPr="00562F72">
        <w:rPr>
          <w:b/>
        </w:rPr>
        <w:t>The JLFA Executive Editors:</w:t>
      </w:r>
    </w:p>
    <w:p w14:paraId="0468DEA0" w14:textId="69B87C73" w:rsidR="00003D97" w:rsidRPr="00562F72" w:rsidRDefault="0075663F" w:rsidP="00562F72">
      <w:pPr>
        <w:contextualSpacing/>
        <w:jc w:val="both"/>
      </w:pPr>
      <w:r w:rsidRPr="00562F72">
        <w:t>Barry Adler</w:t>
      </w:r>
      <w:r w:rsidRPr="00562F72">
        <w:tab/>
      </w:r>
      <w:r w:rsidR="00172168">
        <w:tab/>
      </w:r>
      <w:r w:rsidRPr="00562F72">
        <w:t>|</w:t>
      </w:r>
      <w:r w:rsidR="00003D97" w:rsidRPr="00562F72">
        <w:t xml:space="preserve"> NYU School of Law</w:t>
      </w:r>
    </w:p>
    <w:p w14:paraId="1CA7DF62" w14:textId="2F97B2F0" w:rsidR="00C70806" w:rsidRPr="00562F72" w:rsidRDefault="0075663F" w:rsidP="00562F72">
      <w:pPr>
        <w:contextualSpacing/>
        <w:jc w:val="both"/>
      </w:pPr>
      <w:r w:rsidRPr="00562F72">
        <w:t>John Armour</w:t>
      </w:r>
      <w:r w:rsidRPr="00562F72">
        <w:tab/>
      </w:r>
      <w:r w:rsidR="00172168">
        <w:tab/>
      </w:r>
      <w:r w:rsidRPr="00562F72">
        <w:t>|</w:t>
      </w:r>
      <w:r w:rsidR="00003D97" w:rsidRPr="00562F72">
        <w:t xml:space="preserve"> </w:t>
      </w:r>
      <w:r w:rsidR="00C70806" w:rsidRPr="00562F72">
        <w:t xml:space="preserve">Oxford, Law Faculty and Said School of </w:t>
      </w:r>
      <w:r w:rsidR="008D5EEE" w:rsidRPr="00562F72">
        <w:t>Business</w:t>
      </w:r>
    </w:p>
    <w:p w14:paraId="555C7C7B" w14:textId="658B2AC1" w:rsidR="00C70806" w:rsidRPr="00562F72" w:rsidRDefault="0075663F" w:rsidP="00172168">
      <w:pPr>
        <w:ind w:left="2160" w:hanging="2160"/>
        <w:contextualSpacing/>
        <w:jc w:val="both"/>
      </w:pPr>
      <w:r w:rsidRPr="00562F72">
        <w:t>Bernard Black</w:t>
      </w:r>
      <w:r w:rsidR="00172168">
        <w:tab/>
        <w:t xml:space="preserve">| </w:t>
      </w:r>
      <w:r w:rsidR="00C70806" w:rsidRPr="00562F72">
        <w:t>Northwestern Pritzker School of Law &amp; Kellogg School of Manageme</w:t>
      </w:r>
      <w:r w:rsidR="00003D97" w:rsidRPr="00562F72">
        <w:t>nt</w:t>
      </w:r>
    </w:p>
    <w:p w14:paraId="58205293" w14:textId="26F42C4B" w:rsidR="00C70806" w:rsidRPr="00562F72" w:rsidRDefault="00520BC2" w:rsidP="00562F72">
      <w:pPr>
        <w:contextualSpacing/>
        <w:jc w:val="both"/>
      </w:pPr>
      <w:r w:rsidRPr="00562F72">
        <w:t>Mark DeFond</w:t>
      </w:r>
      <w:r w:rsidR="00172168">
        <w:t xml:space="preserve"> </w:t>
      </w:r>
      <w:r w:rsidR="00172168">
        <w:tab/>
      </w:r>
      <w:r w:rsidR="00172168">
        <w:tab/>
      </w:r>
      <w:r w:rsidR="0075663F" w:rsidRPr="00562F72">
        <w:t>|</w:t>
      </w:r>
      <w:r w:rsidR="00003D97" w:rsidRPr="00562F72">
        <w:t xml:space="preserve"> </w:t>
      </w:r>
      <w:r w:rsidR="00561CD8" w:rsidRPr="00562F72">
        <w:t>University of Southern California</w:t>
      </w:r>
    </w:p>
    <w:p w14:paraId="6B0CADB6" w14:textId="64A204E9" w:rsidR="00C70806" w:rsidRPr="00562F72" w:rsidRDefault="00C70806" w:rsidP="00562F72">
      <w:pPr>
        <w:contextualSpacing/>
        <w:jc w:val="both"/>
      </w:pPr>
      <w:r w:rsidRPr="00562F72">
        <w:t>Julian Franks</w:t>
      </w:r>
      <w:r w:rsidR="0075663F" w:rsidRPr="00562F72">
        <w:tab/>
      </w:r>
      <w:r w:rsidR="00172168">
        <w:tab/>
      </w:r>
      <w:r w:rsidR="0075663F" w:rsidRPr="00562F72">
        <w:t>|</w:t>
      </w:r>
      <w:r w:rsidRPr="00562F72">
        <w:t xml:space="preserve"> London Busines</w:t>
      </w:r>
      <w:r w:rsidR="0075663F" w:rsidRPr="00562F72">
        <w:t>s School</w:t>
      </w:r>
    </w:p>
    <w:p w14:paraId="607116ED" w14:textId="36A33C3B" w:rsidR="00C70806" w:rsidRPr="00562F72" w:rsidRDefault="0075663F" w:rsidP="00562F72">
      <w:pPr>
        <w:contextualSpacing/>
        <w:jc w:val="both"/>
      </w:pPr>
      <w:r w:rsidRPr="00562F72">
        <w:t>Joshua Ronen</w:t>
      </w:r>
      <w:r w:rsidRPr="00562F72">
        <w:tab/>
      </w:r>
      <w:r w:rsidR="00172168">
        <w:tab/>
      </w:r>
      <w:r w:rsidRPr="00562F72">
        <w:t>|</w:t>
      </w:r>
      <w:r w:rsidR="00003D97" w:rsidRPr="00562F72">
        <w:t xml:space="preserve"> </w:t>
      </w:r>
      <w:r w:rsidR="00C70806" w:rsidRPr="00562F72">
        <w:t>NYU Stern School of Bus</w:t>
      </w:r>
      <w:r w:rsidRPr="00562F72">
        <w:t>iness</w:t>
      </w:r>
    </w:p>
    <w:p w14:paraId="6D896D05" w14:textId="2F4A7841" w:rsidR="00931EB1" w:rsidRPr="00562F72" w:rsidRDefault="0075663F" w:rsidP="00562F72">
      <w:pPr>
        <w:contextualSpacing/>
        <w:jc w:val="both"/>
      </w:pPr>
      <w:r w:rsidRPr="00562F72">
        <w:t>Stefano Rossi</w:t>
      </w:r>
      <w:r w:rsidRPr="00562F72">
        <w:tab/>
      </w:r>
      <w:r w:rsidR="00172168">
        <w:tab/>
      </w:r>
      <w:r w:rsidRPr="00562F72">
        <w:t>|</w:t>
      </w:r>
      <w:r w:rsidR="00003D97" w:rsidRPr="00562F72">
        <w:t xml:space="preserve"> </w:t>
      </w:r>
      <w:r w:rsidR="00931EB1" w:rsidRPr="00562F72">
        <w:t>Bo</w:t>
      </w:r>
      <w:r w:rsidR="00003D97" w:rsidRPr="00562F72">
        <w:t>cconi University</w:t>
      </w:r>
    </w:p>
    <w:p w14:paraId="642F5D97" w14:textId="75B810C3" w:rsidR="00003D97" w:rsidRPr="00562F72" w:rsidRDefault="0075663F" w:rsidP="00562F72">
      <w:pPr>
        <w:contextualSpacing/>
        <w:jc w:val="both"/>
      </w:pPr>
      <w:r w:rsidRPr="00562F72">
        <w:t>David Yermack</w:t>
      </w:r>
      <w:r w:rsidRPr="00562F72">
        <w:tab/>
        <w:t>|</w:t>
      </w:r>
      <w:r w:rsidR="00003D97" w:rsidRPr="00562F72">
        <w:t xml:space="preserve"> NYU Stern School of Business</w:t>
      </w:r>
    </w:p>
    <w:p w14:paraId="4C283A5F" w14:textId="77777777" w:rsidR="00C70806" w:rsidRPr="00562F72" w:rsidRDefault="00C70806" w:rsidP="00562F72">
      <w:pPr>
        <w:contextualSpacing/>
        <w:jc w:val="both"/>
      </w:pPr>
    </w:p>
    <w:p w14:paraId="3E543B88" w14:textId="5B4455F5" w:rsidR="00C70806" w:rsidRPr="00562F72" w:rsidRDefault="00C70806" w:rsidP="00562F72">
      <w:pPr>
        <w:contextualSpacing/>
        <w:jc w:val="both"/>
      </w:pPr>
      <w:r w:rsidRPr="00562F72">
        <w:t xml:space="preserve">For questions about the submission process, please contact </w:t>
      </w:r>
      <w:hyperlink r:id="rId15" w:history="1">
        <w:r w:rsidR="00E47A11" w:rsidRPr="00562F72">
          <w:rPr>
            <w:rStyle w:val="Link"/>
          </w:rPr>
          <w:t>Addie_Jackson@ssrn.com</w:t>
        </w:r>
      </w:hyperlink>
      <w:r w:rsidR="00E47A11" w:rsidRPr="00562F72">
        <w:t xml:space="preserve">. </w:t>
      </w:r>
      <w:r w:rsidR="008A3000" w:rsidRPr="00562F72">
        <w:t xml:space="preserve">For </w:t>
      </w:r>
      <w:r w:rsidR="00B43400">
        <w:t>info and enquiries</w:t>
      </w:r>
      <w:r w:rsidR="008A3000" w:rsidRPr="00562F72">
        <w:t xml:space="preserve">, please contact </w:t>
      </w:r>
      <w:r w:rsidR="00B43400">
        <w:t>Prof</w:t>
      </w:r>
      <w:r w:rsidR="00E47A11" w:rsidRPr="00562F72">
        <w:t xml:space="preserve"> Pugliese </w:t>
      </w:r>
      <w:hyperlink r:id="rId16" w:history="1">
        <w:r w:rsidR="00022480" w:rsidRPr="00562F72">
          <w:rPr>
            <w:rStyle w:val="Link"/>
          </w:rPr>
          <w:t>amedeo.pugliese@unipd.it</w:t>
        </w:r>
      </w:hyperlink>
      <w:r w:rsidR="00022480" w:rsidRPr="00562F72">
        <w:t xml:space="preserve"> </w:t>
      </w:r>
      <w:r w:rsidR="004B5CCD">
        <w:t xml:space="preserve">or </w:t>
      </w:r>
      <w:r w:rsidR="00022480" w:rsidRPr="00562F72">
        <w:t xml:space="preserve">Prof. Bonacchi </w:t>
      </w:r>
      <w:hyperlink r:id="rId17" w:history="1">
        <w:r w:rsidR="00022480" w:rsidRPr="00562F72">
          <w:rPr>
            <w:rStyle w:val="Link"/>
          </w:rPr>
          <w:t>Massimiliano.bonacchi@unibz.it</w:t>
        </w:r>
      </w:hyperlink>
      <w:r w:rsidR="00022480" w:rsidRPr="00562F72">
        <w:t>.</w:t>
      </w:r>
      <w:r w:rsidR="00E47A11" w:rsidRPr="00562F72">
        <w:t xml:space="preserve"> </w:t>
      </w:r>
    </w:p>
    <w:p w14:paraId="407CB543" w14:textId="77777777" w:rsidR="00C70806" w:rsidRPr="00562F72" w:rsidRDefault="00C70806" w:rsidP="00562F72">
      <w:pPr>
        <w:contextualSpacing/>
        <w:jc w:val="both"/>
      </w:pPr>
    </w:p>
    <w:p w14:paraId="0B42918D" w14:textId="77777777" w:rsidR="00C70806" w:rsidRPr="00562F72" w:rsidRDefault="00C70806" w:rsidP="00562F72">
      <w:pPr>
        <w:contextualSpacing/>
        <w:jc w:val="both"/>
      </w:pPr>
    </w:p>
    <w:p w14:paraId="13D68945" w14:textId="77777777" w:rsidR="00C70806" w:rsidRPr="00562F72" w:rsidRDefault="00C70806" w:rsidP="00562F72">
      <w:pPr>
        <w:contextualSpacing/>
        <w:jc w:val="both"/>
      </w:pPr>
      <w:r w:rsidRPr="00562F72">
        <w:rPr>
          <w:b/>
        </w:rPr>
        <w:t>JLFA Volume 1, Issue 1 (2016)</w:t>
      </w:r>
      <w:r w:rsidRPr="00562F72">
        <w:t xml:space="preserve"> [to download these papers, visit</w:t>
      </w:r>
      <w:r w:rsidR="00E47A11" w:rsidRPr="00562F72">
        <w:t xml:space="preserve"> </w:t>
      </w:r>
      <w:hyperlink r:id="rId18" w:history="1">
        <w:r w:rsidR="00E47A11" w:rsidRPr="00562F72">
          <w:rPr>
            <w:rStyle w:val="Link"/>
          </w:rPr>
          <w:t>www.jlfaonline.com</w:t>
        </w:r>
      </w:hyperlink>
      <w:r w:rsidRPr="00562F72">
        <w:t>]</w:t>
      </w:r>
    </w:p>
    <w:p w14:paraId="285CD4A4" w14:textId="77777777" w:rsidR="00C70806" w:rsidRPr="00562F72" w:rsidRDefault="00C70806" w:rsidP="00562F72">
      <w:pPr>
        <w:contextualSpacing/>
        <w:jc w:val="both"/>
      </w:pPr>
    </w:p>
    <w:p w14:paraId="0C565061" w14:textId="77777777" w:rsidR="00C70806" w:rsidRPr="00562F72" w:rsidRDefault="00C70806" w:rsidP="00562F72">
      <w:pPr>
        <w:contextualSpacing/>
        <w:jc w:val="both"/>
      </w:pPr>
      <w:r w:rsidRPr="00562F72">
        <w:t xml:space="preserve">Stephen J. Choi and Mitu Gulati, </w:t>
      </w:r>
      <w:r w:rsidRPr="00562F72">
        <w:rPr>
          <w:i/>
        </w:rPr>
        <w:t>The Pricing of Non-Price Terms in Sovereign Bonds: The Case of the Greek Guarantees</w:t>
      </w:r>
      <w:r w:rsidRPr="00562F72">
        <w:t>,</w:t>
      </w:r>
      <w:r w:rsidR="00E47A11" w:rsidRPr="00562F72">
        <w:t xml:space="preserve"> </w:t>
      </w:r>
      <w:hyperlink r:id="rId19" w:history="1">
        <w:r w:rsidR="00E47A11" w:rsidRPr="00562F72">
          <w:rPr>
            <w:rStyle w:val="Link"/>
          </w:rPr>
          <w:t>http://dx.doi.org/10.1561/108.00000002</w:t>
        </w:r>
      </w:hyperlink>
      <w:r w:rsidR="00E47A11" w:rsidRPr="00562F72">
        <w:t xml:space="preserve"> </w:t>
      </w:r>
    </w:p>
    <w:p w14:paraId="66564093" w14:textId="77777777" w:rsidR="00C70806" w:rsidRPr="00562F72" w:rsidRDefault="00C70806" w:rsidP="00562F72">
      <w:pPr>
        <w:contextualSpacing/>
        <w:jc w:val="both"/>
      </w:pPr>
    </w:p>
    <w:p w14:paraId="15F82F1B" w14:textId="77777777" w:rsidR="00C70806" w:rsidRPr="00562F72" w:rsidRDefault="00C70806" w:rsidP="00562F72">
      <w:pPr>
        <w:contextualSpacing/>
        <w:jc w:val="both"/>
      </w:pPr>
      <w:r w:rsidRPr="00562F72">
        <w:t xml:space="preserve">William F. Bassett, </w:t>
      </w:r>
      <w:r w:rsidRPr="00562F72">
        <w:rPr>
          <w:i/>
        </w:rPr>
        <w:t>Using Insured Deposits to Refine Estimates of the Large Bank Funding Advantage</w:t>
      </w:r>
      <w:r w:rsidRPr="00562F72">
        <w:t>,</w:t>
      </w:r>
    </w:p>
    <w:p w14:paraId="6D33E144" w14:textId="77777777" w:rsidR="00C70806" w:rsidRPr="00562F72" w:rsidRDefault="00112BA7" w:rsidP="00562F72">
      <w:pPr>
        <w:contextualSpacing/>
        <w:jc w:val="both"/>
      </w:pPr>
      <w:hyperlink r:id="rId20" w:history="1">
        <w:r w:rsidR="00E47A11" w:rsidRPr="00562F72">
          <w:rPr>
            <w:rStyle w:val="Link"/>
          </w:rPr>
          <w:t>http://dx.doi.org/10.1561/108.00000003</w:t>
        </w:r>
      </w:hyperlink>
      <w:r w:rsidR="00E47A11" w:rsidRPr="00562F72">
        <w:t xml:space="preserve"> </w:t>
      </w:r>
    </w:p>
    <w:p w14:paraId="7A55F253" w14:textId="77777777" w:rsidR="00C70806" w:rsidRPr="00562F72" w:rsidRDefault="00C70806" w:rsidP="00562F72">
      <w:pPr>
        <w:contextualSpacing/>
        <w:jc w:val="both"/>
      </w:pPr>
    </w:p>
    <w:p w14:paraId="4E3E4779" w14:textId="77777777" w:rsidR="00C70806" w:rsidRPr="00562F72" w:rsidRDefault="00C70806" w:rsidP="00562F72">
      <w:pPr>
        <w:contextualSpacing/>
        <w:jc w:val="both"/>
        <w:rPr>
          <w:i/>
        </w:rPr>
      </w:pPr>
      <w:r w:rsidRPr="00562F72">
        <w:t>T</w:t>
      </w:r>
      <w:r w:rsidR="00E47A11" w:rsidRPr="00562F72">
        <w:t xml:space="preserve">iago Pinheiro and Joshua Ronen, </w:t>
      </w:r>
      <w:r w:rsidR="00E47A11" w:rsidRPr="00562F72">
        <w:rPr>
          <w:i/>
        </w:rPr>
        <w:t xml:space="preserve">Unintended Consequences of the Credit Card Act, </w:t>
      </w:r>
    </w:p>
    <w:p w14:paraId="4648C765" w14:textId="77777777" w:rsidR="00C70806" w:rsidRPr="00562F72" w:rsidRDefault="00112BA7" w:rsidP="00562F72">
      <w:pPr>
        <w:contextualSpacing/>
        <w:jc w:val="both"/>
      </w:pPr>
      <w:hyperlink r:id="rId21" w:history="1">
        <w:r w:rsidR="00E47A11" w:rsidRPr="00562F72">
          <w:rPr>
            <w:rStyle w:val="Link"/>
          </w:rPr>
          <w:t>http://dx.doi.org/10.1561/108.00000006</w:t>
        </w:r>
      </w:hyperlink>
      <w:r w:rsidR="00E47A11" w:rsidRPr="00562F72">
        <w:t xml:space="preserve"> </w:t>
      </w:r>
    </w:p>
    <w:p w14:paraId="711650BE" w14:textId="77777777" w:rsidR="00C70806" w:rsidRPr="00562F72" w:rsidRDefault="00C70806" w:rsidP="00562F72">
      <w:pPr>
        <w:contextualSpacing/>
        <w:jc w:val="both"/>
      </w:pPr>
    </w:p>
    <w:p w14:paraId="00248E2D" w14:textId="77777777" w:rsidR="00C70806" w:rsidRPr="00562F72" w:rsidRDefault="00C70806" w:rsidP="00562F72">
      <w:pPr>
        <w:contextualSpacing/>
        <w:jc w:val="both"/>
      </w:pPr>
      <w:r w:rsidRPr="00562F72">
        <w:t xml:space="preserve">Dhammika Dharmapala and Vikramaditya Khanna, </w:t>
      </w:r>
      <w:r w:rsidRPr="00562F72">
        <w:rPr>
          <w:i/>
        </w:rPr>
        <w:t>The Costs and Benefits of Mandatory Securities Regulation: Evidence from Market Reactions to the JOBS Act of 2012</w:t>
      </w:r>
      <w:r w:rsidRPr="00562F72">
        <w:t>,</w:t>
      </w:r>
      <w:r w:rsidR="00E47A11" w:rsidRPr="00562F72">
        <w:t xml:space="preserve"> </w:t>
      </w:r>
      <w:hyperlink r:id="rId22" w:history="1">
        <w:r w:rsidR="00E47A11" w:rsidRPr="00562F72">
          <w:rPr>
            <w:rStyle w:val="Link"/>
          </w:rPr>
          <w:t>http://dx.doi.org/10.1561/108.00000004</w:t>
        </w:r>
      </w:hyperlink>
      <w:r w:rsidR="00E47A11" w:rsidRPr="00562F72">
        <w:t xml:space="preserve"> </w:t>
      </w:r>
    </w:p>
    <w:p w14:paraId="156EFF49" w14:textId="77777777" w:rsidR="00C70806" w:rsidRPr="00562F72" w:rsidRDefault="00C70806" w:rsidP="00562F72">
      <w:pPr>
        <w:contextualSpacing/>
        <w:jc w:val="both"/>
      </w:pPr>
    </w:p>
    <w:p w14:paraId="5E444A11" w14:textId="77777777" w:rsidR="0054201B" w:rsidRPr="00562F72" w:rsidRDefault="00C70806" w:rsidP="00562F72">
      <w:pPr>
        <w:contextualSpacing/>
        <w:jc w:val="both"/>
      </w:pPr>
      <w:r w:rsidRPr="00562F72">
        <w:t xml:space="preserve">Edward Li, Charles Wasley and Jerold Zimmerman, </w:t>
      </w:r>
      <w:r w:rsidRPr="00562F72">
        <w:rPr>
          <w:i/>
        </w:rPr>
        <w:t>The Disclose or Abstain Incentive to Issue Management Guidance</w:t>
      </w:r>
      <w:r w:rsidRPr="00562F72">
        <w:t>,</w:t>
      </w:r>
      <w:r w:rsidR="00E47A11" w:rsidRPr="00562F72">
        <w:t xml:space="preserve"> </w:t>
      </w:r>
      <w:hyperlink r:id="rId23" w:history="1">
        <w:r w:rsidR="00E47A11" w:rsidRPr="00562F72">
          <w:rPr>
            <w:rStyle w:val="Link"/>
          </w:rPr>
          <w:t>http://dx.doi.org/10.1561/108.00000001</w:t>
        </w:r>
      </w:hyperlink>
      <w:r w:rsidR="00E47A11" w:rsidRPr="00562F72">
        <w:t xml:space="preserve"> </w:t>
      </w:r>
      <w:r w:rsidR="0054201B" w:rsidRPr="00562F72">
        <w:t xml:space="preserve"> </w:t>
      </w:r>
    </w:p>
    <w:p w14:paraId="7CDA5F5F" w14:textId="77777777" w:rsidR="00E47A11" w:rsidRPr="00562F72" w:rsidRDefault="00E47A11" w:rsidP="00562F72">
      <w:pPr>
        <w:contextualSpacing/>
        <w:jc w:val="both"/>
      </w:pPr>
    </w:p>
    <w:p w14:paraId="6089B2D3" w14:textId="77777777" w:rsidR="00E47A11" w:rsidRPr="00562F72" w:rsidRDefault="00E47A11" w:rsidP="00562F72">
      <w:pPr>
        <w:contextualSpacing/>
        <w:jc w:val="both"/>
      </w:pPr>
      <w:r w:rsidRPr="00562F72">
        <w:rPr>
          <w:b/>
        </w:rPr>
        <w:t>JLFA Volume 1, Issue 2 (2016)</w:t>
      </w:r>
    </w:p>
    <w:p w14:paraId="1D9E3779" w14:textId="77777777" w:rsidR="001E3515" w:rsidRPr="00562F72" w:rsidRDefault="001E3515" w:rsidP="00562F72">
      <w:pPr>
        <w:contextualSpacing/>
        <w:jc w:val="both"/>
      </w:pPr>
    </w:p>
    <w:p w14:paraId="59C2E93C" w14:textId="77777777" w:rsidR="00E47A11" w:rsidRPr="00562F72" w:rsidRDefault="00E47A11" w:rsidP="00562F72">
      <w:pPr>
        <w:contextualSpacing/>
        <w:jc w:val="both"/>
      </w:pPr>
      <w:r w:rsidRPr="00562F72">
        <w:t xml:space="preserve">Dain C. Donelson, John McInnis, and Richard D. Mergenthaler, </w:t>
      </w:r>
      <w:r w:rsidRPr="00562F72">
        <w:rPr>
          <w:i/>
        </w:rPr>
        <w:t xml:space="preserve">The Effect of Governance Reforms on Financial Reporting Fraud, </w:t>
      </w:r>
      <w:r w:rsidRPr="00562F72">
        <w:t>(</w:t>
      </w:r>
      <w:hyperlink r:id="rId24" w:history="1">
        <w:r w:rsidRPr="00562F72">
          <w:rPr>
            <w:rStyle w:val="Link"/>
          </w:rPr>
          <w:t>http://dx.doi.org/10.1561/108.00000005</w:t>
        </w:r>
      </w:hyperlink>
      <w:r w:rsidRPr="00562F72">
        <w:t xml:space="preserve"> </w:t>
      </w:r>
    </w:p>
    <w:p w14:paraId="257A7931" w14:textId="77777777" w:rsidR="00E47A11" w:rsidRPr="00562F72" w:rsidRDefault="00E47A11" w:rsidP="00562F72">
      <w:pPr>
        <w:contextualSpacing/>
        <w:jc w:val="both"/>
      </w:pPr>
    </w:p>
    <w:p w14:paraId="668810D5" w14:textId="77777777" w:rsidR="00E47A11" w:rsidRPr="00562F72" w:rsidRDefault="00E47A11" w:rsidP="00562F72">
      <w:pPr>
        <w:contextualSpacing/>
        <w:jc w:val="both"/>
      </w:pPr>
      <w:r w:rsidRPr="00562F72">
        <w:t xml:space="preserve">C. S. Agnes Cheng, Henry He Huang, and Yinghua Li, </w:t>
      </w:r>
      <w:r w:rsidRPr="00562F72">
        <w:rPr>
          <w:i/>
        </w:rPr>
        <w:t xml:space="preserve">Does Shareholder Litigation Deter Insider Trading?, </w:t>
      </w:r>
      <w:hyperlink r:id="rId25" w:history="1">
        <w:r w:rsidRPr="00562F72">
          <w:rPr>
            <w:rStyle w:val="Link"/>
          </w:rPr>
          <w:t>http://dx.doi.org/10.1561/108.00000007</w:t>
        </w:r>
      </w:hyperlink>
      <w:r w:rsidRPr="00562F72">
        <w:t xml:space="preserve"> </w:t>
      </w:r>
    </w:p>
    <w:p w14:paraId="0CFAB8E3" w14:textId="77777777" w:rsidR="00E47A11" w:rsidRPr="00562F72" w:rsidRDefault="00E47A11" w:rsidP="00562F72">
      <w:pPr>
        <w:contextualSpacing/>
        <w:jc w:val="both"/>
      </w:pPr>
    </w:p>
    <w:p w14:paraId="09939976" w14:textId="77777777" w:rsidR="00E47A11" w:rsidRPr="00562F72" w:rsidRDefault="00E47A11" w:rsidP="00562F72">
      <w:pPr>
        <w:contextualSpacing/>
        <w:jc w:val="both"/>
      </w:pPr>
      <w:r w:rsidRPr="00562F72">
        <w:lastRenderedPageBreak/>
        <w:t xml:space="preserve">Ram T. S. Ramakrishnan and Xiaoyan Wen, </w:t>
      </w:r>
      <w:r w:rsidRPr="00562F72">
        <w:rPr>
          <w:i/>
        </w:rPr>
        <w:t xml:space="preserve">Meeting Company-Issued Guidance and Management Guidance Strategy, </w:t>
      </w:r>
      <w:hyperlink r:id="rId26" w:history="1">
        <w:r w:rsidRPr="00562F72">
          <w:rPr>
            <w:rStyle w:val="Link"/>
          </w:rPr>
          <w:t>http://dx.doi.org/10.1561/108.00000008</w:t>
        </w:r>
      </w:hyperlink>
      <w:r w:rsidRPr="00562F72">
        <w:t xml:space="preserve"> </w:t>
      </w:r>
    </w:p>
    <w:p w14:paraId="7E72F1CB" w14:textId="77777777" w:rsidR="00E47A11" w:rsidRPr="00562F72" w:rsidRDefault="00E47A11" w:rsidP="00562F72">
      <w:pPr>
        <w:contextualSpacing/>
        <w:jc w:val="both"/>
      </w:pPr>
    </w:p>
    <w:p w14:paraId="1AB30637" w14:textId="77777777" w:rsidR="00E47A11" w:rsidRPr="00562F72" w:rsidRDefault="00E47A11" w:rsidP="00562F72">
      <w:pPr>
        <w:contextualSpacing/>
        <w:jc w:val="both"/>
      </w:pPr>
      <w:r w:rsidRPr="00562F72">
        <w:t xml:space="preserve">Sunil Dutta and Qintao Fan, </w:t>
      </w:r>
      <w:r w:rsidRPr="00562F72">
        <w:rPr>
          <w:i/>
        </w:rPr>
        <w:t xml:space="preserve">Earnings Management and Dynamic Incentives, </w:t>
      </w:r>
      <w:hyperlink r:id="rId27" w:history="1">
        <w:r w:rsidRPr="00562F72">
          <w:rPr>
            <w:rStyle w:val="Link"/>
            <w:i/>
          </w:rPr>
          <w:t>h</w:t>
        </w:r>
        <w:r w:rsidRPr="00562F72">
          <w:rPr>
            <w:rStyle w:val="Link"/>
          </w:rPr>
          <w:t>ttp://dx.doi.org/10.1561/108.00000009</w:t>
        </w:r>
      </w:hyperlink>
      <w:r w:rsidRPr="00562F72">
        <w:t xml:space="preserve"> </w:t>
      </w:r>
    </w:p>
    <w:p w14:paraId="61021D0F" w14:textId="77777777" w:rsidR="00E47A11" w:rsidRPr="00562F72" w:rsidRDefault="00E47A11" w:rsidP="00562F72">
      <w:pPr>
        <w:contextualSpacing/>
        <w:jc w:val="both"/>
      </w:pPr>
    </w:p>
    <w:p w14:paraId="2921A151" w14:textId="77777777" w:rsidR="001E3515" w:rsidRPr="00562F72" w:rsidRDefault="001E3515" w:rsidP="00562F72">
      <w:pPr>
        <w:contextualSpacing/>
        <w:jc w:val="both"/>
      </w:pPr>
      <w:r w:rsidRPr="00562F72">
        <w:rPr>
          <w:b/>
        </w:rPr>
        <w:t>JLFA Volume 2, Issue 1 (2017)</w:t>
      </w:r>
    </w:p>
    <w:p w14:paraId="0A36643D" w14:textId="77777777" w:rsidR="001E3515" w:rsidRPr="00562F72" w:rsidRDefault="001E3515" w:rsidP="00562F72">
      <w:pPr>
        <w:contextualSpacing/>
        <w:jc w:val="both"/>
      </w:pPr>
    </w:p>
    <w:p w14:paraId="63B03A65" w14:textId="77777777" w:rsidR="001E3515" w:rsidRPr="00562F72" w:rsidRDefault="001E3515" w:rsidP="00562F72">
      <w:pPr>
        <w:contextualSpacing/>
        <w:jc w:val="both"/>
      </w:pPr>
      <w:r w:rsidRPr="00562F72">
        <w:t xml:space="preserve">Albert H. Choi , Facilitating Mergers and Acquisitions with Earnouts and Purchase Price Adjustments, </w:t>
      </w:r>
      <w:hyperlink r:id="rId28" w:history="1">
        <w:r w:rsidRPr="00562F72">
          <w:rPr>
            <w:rStyle w:val="Link"/>
          </w:rPr>
          <w:t>http://dx.doi.org/10.1561/108.00000011</w:t>
        </w:r>
      </w:hyperlink>
      <w:r w:rsidRPr="00562F72">
        <w:t xml:space="preserve"> </w:t>
      </w:r>
    </w:p>
    <w:p w14:paraId="7ABD2468" w14:textId="77777777" w:rsidR="001E3515" w:rsidRPr="00562F72" w:rsidRDefault="001E3515" w:rsidP="00562F72">
      <w:pPr>
        <w:contextualSpacing/>
        <w:jc w:val="both"/>
      </w:pPr>
    </w:p>
    <w:p w14:paraId="452AA351" w14:textId="77777777" w:rsidR="001E3515" w:rsidRPr="00562F72" w:rsidRDefault="001E3515" w:rsidP="00562F72">
      <w:pPr>
        <w:contextualSpacing/>
        <w:jc w:val="both"/>
        <w:rPr>
          <w:i/>
        </w:rPr>
      </w:pPr>
      <w:r w:rsidRPr="00562F72">
        <w:t xml:space="preserve">Assaf Hamdani, Eugene Kandel, Yevgeny Mugerman and Yishay Yafeh, </w:t>
      </w:r>
      <w:r w:rsidRPr="00562F72">
        <w:rPr>
          <w:i/>
        </w:rPr>
        <w:t xml:space="preserve">Incentive Fees and Competition in Pension Funds: Evidence from a Regulatory Experiment, </w:t>
      </w:r>
      <w:hyperlink r:id="rId29" w:history="1">
        <w:r w:rsidRPr="00562F72">
          <w:rPr>
            <w:rStyle w:val="Link"/>
            <w:i/>
          </w:rPr>
          <w:t>http://dx.doi.org/10.1561/108.00000015</w:t>
        </w:r>
      </w:hyperlink>
      <w:r w:rsidRPr="00562F72">
        <w:rPr>
          <w:i/>
        </w:rPr>
        <w:t xml:space="preserve"> </w:t>
      </w:r>
    </w:p>
    <w:p w14:paraId="0FC825E2" w14:textId="77777777" w:rsidR="001E3515" w:rsidRPr="00562F72" w:rsidRDefault="001E3515" w:rsidP="00562F72">
      <w:pPr>
        <w:contextualSpacing/>
        <w:jc w:val="both"/>
      </w:pPr>
    </w:p>
    <w:p w14:paraId="0C61FF36" w14:textId="77777777" w:rsidR="001E3515" w:rsidRPr="00562F72" w:rsidRDefault="001E3515" w:rsidP="00562F72">
      <w:pPr>
        <w:contextualSpacing/>
        <w:jc w:val="both"/>
        <w:rPr>
          <w:i/>
        </w:rPr>
      </w:pPr>
      <w:r w:rsidRPr="00562F72">
        <w:t xml:space="preserve">Vidhan K. Goyal and Wei Wang, </w:t>
      </w:r>
      <w:r w:rsidRPr="00562F72">
        <w:rPr>
          <w:i/>
        </w:rPr>
        <w:t xml:space="preserve">Provision of Management Incentives in Bankrupt Firms, </w:t>
      </w:r>
      <w:hyperlink r:id="rId30" w:history="1">
        <w:r w:rsidRPr="00562F72">
          <w:rPr>
            <w:rStyle w:val="Link"/>
            <w:i/>
          </w:rPr>
          <w:t>http://dx.doi.org/10.1561/108.00000012</w:t>
        </w:r>
      </w:hyperlink>
      <w:r w:rsidRPr="00562F72">
        <w:rPr>
          <w:i/>
        </w:rPr>
        <w:t xml:space="preserve"> </w:t>
      </w:r>
    </w:p>
    <w:p w14:paraId="26885F42" w14:textId="77777777" w:rsidR="001E3515" w:rsidRPr="00562F72" w:rsidRDefault="001E3515" w:rsidP="00562F72">
      <w:pPr>
        <w:contextualSpacing/>
        <w:jc w:val="both"/>
      </w:pPr>
    </w:p>
    <w:p w14:paraId="21ACCF5E" w14:textId="77777777" w:rsidR="001E3515" w:rsidRPr="00562F72" w:rsidRDefault="001E3515" w:rsidP="00562F72">
      <w:pPr>
        <w:contextualSpacing/>
        <w:jc w:val="both"/>
      </w:pPr>
      <w:r w:rsidRPr="00562F72">
        <w:t xml:space="preserve">Mark Roe and Travis Coan, </w:t>
      </w:r>
      <w:r w:rsidRPr="00562F72">
        <w:rPr>
          <w:i/>
        </w:rPr>
        <w:t>Financial Markets and the Political Center of Gravity</w:t>
      </w:r>
      <w:r w:rsidRPr="00562F72">
        <w:t xml:space="preserve">, </w:t>
      </w:r>
      <w:hyperlink r:id="rId31" w:history="1">
        <w:r w:rsidRPr="00562F72">
          <w:rPr>
            <w:rStyle w:val="Link"/>
          </w:rPr>
          <w:t>http://dx.doi.org/10.1561/108.00000013</w:t>
        </w:r>
      </w:hyperlink>
      <w:r w:rsidRPr="00562F72">
        <w:t xml:space="preserve"> </w:t>
      </w:r>
    </w:p>
    <w:p w14:paraId="7D9C19EB" w14:textId="77777777" w:rsidR="001E3515" w:rsidRPr="00562F72" w:rsidRDefault="001E3515" w:rsidP="00562F72">
      <w:pPr>
        <w:contextualSpacing/>
        <w:jc w:val="both"/>
      </w:pPr>
    </w:p>
    <w:p w14:paraId="689B453A" w14:textId="77777777" w:rsidR="001E3515" w:rsidRPr="00562F72" w:rsidRDefault="001E3515" w:rsidP="00562F72">
      <w:pPr>
        <w:contextualSpacing/>
        <w:jc w:val="both"/>
        <w:rPr>
          <w:i/>
        </w:rPr>
      </w:pPr>
      <w:r w:rsidRPr="00562F72">
        <w:t xml:space="preserve">Maria Gutierrez and Maria Isabel Saez, </w:t>
      </w:r>
      <w:r w:rsidRPr="00562F72">
        <w:rPr>
          <w:i/>
        </w:rPr>
        <w:t>A Contractual Approach to Disciplining Self-dealing by Controlling Shareholders,</w:t>
      </w:r>
      <w:r w:rsidRPr="00562F72">
        <w:rPr>
          <w:rFonts w:eastAsia="Times New Roman"/>
          <w:color w:val="333333"/>
          <w:shd w:val="clear" w:color="auto" w:fill="FFFFFF"/>
        </w:rPr>
        <w:t xml:space="preserve"> </w:t>
      </w:r>
      <w:hyperlink r:id="rId32" w:history="1">
        <w:r w:rsidRPr="00562F72">
          <w:rPr>
            <w:rStyle w:val="Link"/>
            <w:i/>
          </w:rPr>
          <w:t>http://dx.doi.org/10.1561/108.00000014</w:t>
        </w:r>
      </w:hyperlink>
      <w:r w:rsidRPr="00562F72">
        <w:rPr>
          <w:i/>
        </w:rPr>
        <w:t xml:space="preserve"> </w:t>
      </w:r>
    </w:p>
    <w:p w14:paraId="27BBC1D3" w14:textId="77777777" w:rsidR="001E3515" w:rsidRPr="00562F72" w:rsidRDefault="001E3515" w:rsidP="00562F72">
      <w:pPr>
        <w:contextualSpacing/>
        <w:jc w:val="both"/>
      </w:pPr>
    </w:p>
    <w:p w14:paraId="690789E0" w14:textId="77777777" w:rsidR="001E3515" w:rsidRPr="00562F72" w:rsidRDefault="001E3515" w:rsidP="00562F72">
      <w:pPr>
        <w:contextualSpacing/>
        <w:jc w:val="both"/>
        <w:rPr>
          <w:i/>
        </w:rPr>
      </w:pPr>
      <w:r w:rsidRPr="00562F72">
        <w:t xml:space="preserve">Rajesh Chakrabarti, Krishnamurthy Subramanian, and Sesha Meka, </w:t>
      </w:r>
      <w:r w:rsidRPr="00562F72">
        <w:rPr>
          <w:i/>
        </w:rPr>
        <w:t xml:space="preserve">Localization of FDI flows: Evidence on Infrastructure as a critical determinant, </w:t>
      </w:r>
      <w:hyperlink r:id="rId33" w:history="1">
        <w:r w:rsidRPr="00562F72">
          <w:rPr>
            <w:rStyle w:val="Link"/>
            <w:i/>
          </w:rPr>
          <w:t>http://dx.doi.org/10.1561/108.00000016</w:t>
        </w:r>
      </w:hyperlink>
      <w:r w:rsidRPr="00562F72">
        <w:rPr>
          <w:i/>
        </w:rPr>
        <w:t xml:space="preserve"> </w:t>
      </w:r>
    </w:p>
    <w:p w14:paraId="6141487D" w14:textId="77777777" w:rsidR="001E3515" w:rsidRPr="00562F72" w:rsidRDefault="001E3515" w:rsidP="00562F72">
      <w:pPr>
        <w:contextualSpacing/>
        <w:jc w:val="both"/>
      </w:pPr>
    </w:p>
    <w:p w14:paraId="2086D5C1" w14:textId="0E0455DA" w:rsidR="001E3515" w:rsidRPr="00562F72" w:rsidRDefault="00A4233A" w:rsidP="00562F72">
      <w:pPr>
        <w:contextualSpacing/>
        <w:jc w:val="both"/>
      </w:pPr>
      <w:r w:rsidRPr="00562F72">
        <w:rPr>
          <w:b/>
        </w:rPr>
        <w:t>JLFA Volume 2, Issue 2 (2017)</w:t>
      </w:r>
    </w:p>
    <w:p w14:paraId="6FC307A1" w14:textId="77777777" w:rsidR="001E3515" w:rsidRPr="00562F72" w:rsidRDefault="001E3515" w:rsidP="00562F72">
      <w:pPr>
        <w:contextualSpacing/>
        <w:jc w:val="both"/>
      </w:pPr>
    </w:p>
    <w:p w14:paraId="59D6C70C" w14:textId="6797049F" w:rsidR="009653C8" w:rsidRPr="00562F72" w:rsidRDefault="00A4233A" w:rsidP="00562F72">
      <w:pPr>
        <w:contextualSpacing/>
        <w:rPr>
          <w:rFonts w:eastAsia="Times New Roman"/>
        </w:rPr>
      </w:pPr>
      <w:r w:rsidRPr="00562F72">
        <w:t xml:space="preserve">Oliver Hart and Luigi ZIngales, </w:t>
      </w:r>
      <w:r w:rsidRPr="00562F72">
        <w:rPr>
          <w:i/>
        </w:rPr>
        <w:t xml:space="preserve">Companies Should Maximize Shareholder Welfare not Market Value, </w:t>
      </w:r>
      <w:hyperlink r:id="rId34" w:history="1">
        <w:r w:rsidR="009653C8" w:rsidRPr="00562F72">
          <w:rPr>
            <w:rStyle w:val="Link"/>
            <w:rFonts w:eastAsia="Times New Roman"/>
          </w:rPr>
          <w:t>http://dx.doi.org/10.1561/108.00000022</w:t>
        </w:r>
      </w:hyperlink>
      <w:r w:rsidR="009653C8" w:rsidRPr="00562F72">
        <w:rPr>
          <w:rFonts w:eastAsia="Times New Roman"/>
        </w:rPr>
        <w:t xml:space="preserve"> </w:t>
      </w:r>
    </w:p>
    <w:p w14:paraId="2808A65F" w14:textId="27993DA0" w:rsidR="00C22062" w:rsidRPr="00562F72" w:rsidRDefault="00C22062" w:rsidP="00562F72">
      <w:pPr>
        <w:contextualSpacing/>
        <w:jc w:val="both"/>
      </w:pPr>
    </w:p>
    <w:p w14:paraId="6F9C16C9" w14:textId="458AFF77" w:rsidR="00943948" w:rsidRPr="00562F72" w:rsidRDefault="009653C8" w:rsidP="00562F72">
      <w:pPr>
        <w:contextualSpacing/>
        <w:jc w:val="both"/>
      </w:pPr>
      <w:r w:rsidRPr="00562F72">
        <w:t xml:space="preserve">Milton Harris, S. Abraham Ravid, Ronald Sverdlove and Suman Basuroy, </w:t>
      </w:r>
      <w:r w:rsidRPr="00562F72">
        <w:rPr>
          <w:i/>
        </w:rPr>
        <w:t>Intellectual Property Contracts: Theory and Evidence from Screenplay Sales</w:t>
      </w:r>
      <w:r w:rsidR="00943948" w:rsidRPr="00562F72">
        <w:t xml:space="preserve"> </w:t>
      </w:r>
      <w:hyperlink r:id="rId35" w:history="1">
        <w:r w:rsidR="00943948" w:rsidRPr="00562F72">
          <w:rPr>
            <w:rStyle w:val="Link"/>
          </w:rPr>
          <w:t>http://dx.doi.org/10.1561/108.00000020</w:t>
        </w:r>
      </w:hyperlink>
      <w:r w:rsidR="00943948" w:rsidRPr="00562F72">
        <w:t xml:space="preserve"> </w:t>
      </w:r>
    </w:p>
    <w:p w14:paraId="00775260" w14:textId="77777777" w:rsidR="00943948" w:rsidRPr="00562F72" w:rsidRDefault="00943948" w:rsidP="00562F72">
      <w:pPr>
        <w:contextualSpacing/>
        <w:jc w:val="both"/>
      </w:pPr>
    </w:p>
    <w:p w14:paraId="63F27621" w14:textId="746FCF6C" w:rsidR="00915E04" w:rsidRPr="00562F72" w:rsidRDefault="00943948" w:rsidP="00562F72">
      <w:pPr>
        <w:contextualSpacing/>
        <w:rPr>
          <w:rFonts w:eastAsia="Times New Roman"/>
        </w:rPr>
      </w:pPr>
      <w:r w:rsidRPr="00562F72">
        <w:t>Brad Cornell, Wayne R. Landsman and Stephen R. Stubben</w:t>
      </w:r>
      <w:r w:rsidR="00915E04" w:rsidRPr="00562F72">
        <w:t>,</w:t>
      </w:r>
      <w:r w:rsidRPr="00562F72">
        <w:t xml:space="preserve"> </w:t>
      </w:r>
      <w:r w:rsidRPr="00562F72">
        <w:rPr>
          <w:i/>
        </w:rPr>
        <w:t xml:space="preserve">Accounting Information, Investor Sentiment, and Market Pricing </w:t>
      </w:r>
      <w:hyperlink r:id="rId36" w:history="1">
        <w:r w:rsidR="00915E04" w:rsidRPr="00562F72">
          <w:rPr>
            <w:rStyle w:val="Link"/>
            <w:rFonts w:eastAsia="Times New Roman"/>
          </w:rPr>
          <w:t>http://dx.doi.org/10.1561/108.00000017</w:t>
        </w:r>
      </w:hyperlink>
      <w:r w:rsidR="00915E04" w:rsidRPr="00562F72">
        <w:rPr>
          <w:rFonts w:eastAsia="Times New Roman"/>
        </w:rPr>
        <w:t xml:space="preserve"> </w:t>
      </w:r>
    </w:p>
    <w:p w14:paraId="6C469F50" w14:textId="77777777" w:rsidR="00915E04" w:rsidRPr="00562F72" w:rsidRDefault="00915E04" w:rsidP="00562F72">
      <w:pPr>
        <w:contextualSpacing/>
        <w:rPr>
          <w:rFonts w:eastAsia="Times New Roman"/>
        </w:rPr>
      </w:pPr>
    </w:p>
    <w:p w14:paraId="6174046E" w14:textId="32C40F0F" w:rsidR="00915E04" w:rsidRPr="00562F72" w:rsidRDefault="00915E04" w:rsidP="00562F72">
      <w:pPr>
        <w:contextualSpacing/>
        <w:rPr>
          <w:rFonts w:eastAsia="Times New Roman"/>
        </w:rPr>
      </w:pPr>
      <w:r w:rsidRPr="00562F72">
        <w:rPr>
          <w:rFonts w:eastAsia="Times New Roman"/>
        </w:rPr>
        <w:t xml:space="preserve">Christos A. Grambovas, Juan Manuel Garcia Lara, James Ohlson &amp; Martin Walker </w:t>
      </w:r>
      <w:r w:rsidRPr="00562F72">
        <w:rPr>
          <w:rFonts w:eastAsia="Times New Roman"/>
          <w:i/>
        </w:rPr>
        <w:t xml:space="preserve">Earnings: Concepts versus Reported, </w:t>
      </w:r>
      <w:hyperlink r:id="rId37" w:history="1">
        <w:r w:rsidRPr="00562F72">
          <w:rPr>
            <w:rStyle w:val="Link"/>
            <w:rFonts w:eastAsia="Times New Roman"/>
          </w:rPr>
          <w:t>http://dx.doi.org/10.1561/108.00000018</w:t>
        </w:r>
      </w:hyperlink>
      <w:r w:rsidRPr="00562F72">
        <w:rPr>
          <w:rFonts w:eastAsia="Times New Roman"/>
        </w:rPr>
        <w:t xml:space="preserve"> </w:t>
      </w:r>
    </w:p>
    <w:p w14:paraId="4373F6AC" w14:textId="77777777" w:rsidR="00915E04" w:rsidRPr="00562F72" w:rsidRDefault="00915E04" w:rsidP="00562F72">
      <w:pPr>
        <w:contextualSpacing/>
        <w:rPr>
          <w:rFonts w:eastAsia="Times New Roman"/>
        </w:rPr>
      </w:pPr>
    </w:p>
    <w:p w14:paraId="3CDDF240" w14:textId="4A8A241D" w:rsidR="009653C8" w:rsidRPr="00562F72" w:rsidRDefault="00915E04" w:rsidP="00562F72">
      <w:pPr>
        <w:contextualSpacing/>
      </w:pPr>
      <w:r w:rsidRPr="00562F72">
        <w:rPr>
          <w:rFonts w:eastAsia="Times New Roman"/>
        </w:rPr>
        <w:t xml:space="preserve">Matthew L. Kozora </w:t>
      </w:r>
      <w:r w:rsidRPr="00562F72">
        <w:rPr>
          <w:rFonts w:eastAsia="Times New Roman"/>
          <w:i/>
        </w:rPr>
        <w:t xml:space="preserve">Security Recommendations and the Liabilities of Broker-Dealers, </w:t>
      </w:r>
      <w:hyperlink r:id="rId38" w:history="1">
        <w:r w:rsidRPr="00562F72">
          <w:rPr>
            <w:rStyle w:val="Link"/>
            <w:rFonts w:eastAsia="Times New Roman"/>
          </w:rPr>
          <w:t>http://dx.doi.org/10.1561/108.00000021</w:t>
        </w:r>
      </w:hyperlink>
      <w:r w:rsidRPr="00562F72">
        <w:rPr>
          <w:rFonts w:eastAsia="Times New Roman"/>
        </w:rPr>
        <w:t xml:space="preserve"> </w:t>
      </w:r>
    </w:p>
    <w:sectPr w:rsidR="009653C8" w:rsidRPr="00562F72" w:rsidSect="00832452">
      <w:headerReference w:type="default" r:id="rId39"/>
      <w:pgSz w:w="11900" w:h="16840"/>
      <w:pgMar w:top="1361" w:right="1361" w:bottom="1361" w:left="1361"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medeo Pugliese" w:date="2017-10-20T20:14:00Z" w:initials="AP">
    <w:p w14:paraId="5A4BB99F" w14:textId="3E58F22B" w:rsidR="00801EAF" w:rsidRDefault="00801EAF">
      <w:pPr>
        <w:pStyle w:val="Kommentartext"/>
      </w:pPr>
      <w:r>
        <w:rPr>
          <w:rStyle w:val="Kommentarzeichen"/>
        </w:rPr>
        <w:annotationRef/>
      </w:r>
      <w:r w:rsidRPr="00022480">
        <w:rPr>
          <w:highlight w:val="yellow"/>
        </w:rPr>
        <w:t xml:space="preserve">The JLFA conference is sponsored by </w:t>
      </w:r>
      <w:r>
        <w:t>[STILL LOOKING FOR SPONSORS]</w:t>
      </w:r>
      <w:r w:rsidRPr="00022480">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4BB99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9AB13" w14:textId="77777777" w:rsidR="00112BA7" w:rsidRDefault="00112BA7" w:rsidP="00C06CD2">
      <w:r>
        <w:separator/>
      </w:r>
    </w:p>
  </w:endnote>
  <w:endnote w:type="continuationSeparator" w:id="0">
    <w:p w14:paraId="0AB7D30F" w14:textId="77777777" w:rsidR="00112BA7" w:rsidRDefault="00112BA7" w:rsidP="00C0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647EC" w14:textId="77777777" w:rsidR="00112BA7" w:rsidRDefault="00112BA7" w:rsidP="00C06CD2">
      <w:r>
        <w:separator/>
      </w:r>
    </w:p>
  </w:footnote>
  <w:footnote w:type="continuationSeparator" w:id="0">
    <w:p w14:paraId="2AA84DB3" w14:textId="77777777" w:rsidR="00112BA7" w:rsidRDefault="00112BA7" w:rsidP="00C06C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AB22" w14:textId="77777777" w:rsidR="00C26977" w:rsidRDefault="00E47A11" w:rsidP="00E47A11">
    <w:pPr>
      <w:pStyle w:val="Kopfzeile"/>
      <w:jc w:val="center"/>
    </w:pPr>
    <w:r>
      <w:rPr>
        <w:noProof/>
        <w:lang w:val="de-DE" w:eastAsia="de-DE"/>
      </w:rPr>
      <w:drawing>
        <wp:inline distT="0" distB="0" distL="0" distR="0" wp14:anchorId="703ECA1C" wp14:editId="33DC8E4E">
          <wp:extent cx="5652000" cy="32771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ur logos.png"/>
                  <pic:cNvPicPr/>
                </pic:nvPicPr>
                <pic:blipFill>
                  <a:blip r:embed="rId1">
                    <a:extLst>
                      <a:ext uri="{28A0092B-C50C-407E-A947-70E740481C1C}">
                        <a14:useLocalDpi xmlns:a14="http://schemas.microsoft.com/office/drawing/2010/main" val="0"/>
                      </a:ext>
                    </a:extLst>
                  </a:blip>
                  <a:stretch>
                    <a:fillRect/>
                  </a:stretch>
                </pic:blipFill>
                <pic:spPr>
                  <a:xfrm>
                    <a:off x="0" y="0"/>
                    <a:ext cx="5652000" cy="32771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71B64"/>
    <w:multiLevelType w:val="hybridMultilevel"/>
    <w:tmpl w:val="1F24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edeo Pugliese">
    <w15:presenceInfo w15:providerId="None" w15:userId="Amedeo Pugli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revisionView w:markup="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C0NLawNDW2MDUAAiUdpeDU4uLM/DyQAuNaAJcwVb8sAAAA"/>
    <w:docVar w:name="dgnword-docGUID" w:val="{5797D609-EE48-40C7-800F-C8D53B1D9C47}"/>
    <w:docVar w:name="dgnword-eventsink" w:val="1817875784272"/>
  </w:docVars>
  <w:rsids>
    <w:rsidRoot w:val="000B48D2"/>
    <w:rsid w:val="00003D97"/>
    <w:rsid w:val="000056C5"/>
    <w:rsid w:val="00017C7C"/>
    <w:rsid w:val="00022480"/>
    <w:rsid w:val="000353C2"/>
    <w:rsid w:val="000854C4"/>
    <w:rsid w:val="000B48D2"/>
    <w:rsid w:val="000C5E71"/>
    <w:rsid w:val="000C7664"/>
    <w:rsid w:val="000D1315"/>
    <w:rsid w:val="000D5539"/>
    <w:rsid w:val="00102BAD"/>
    <w:rsid w:val="00112BA7"/>
    <w:rsid w:val="00114FBD"/>
    <w:rsid w:val="00124703"/>
    <w:rsid w:val="00130A45"/>
    <w:rsid w:val="00136630"/>
    <w:rsid w:val="00137954"/>
    <w:rsid w:val="00143375"/>
    <w:rsid w:val="001632CE"/>
    <w:rsid w:val="00172168"/>
    <w:rsid w:val="00176DD5"/>
    <w:rsid w:val="00182036"/>
    <w:rsid w:val="00186C70"/>
    <w:rsid w:val="001931FE"/>
    <w:rsid w:val="0019332B"/>
    <w:rsid w:val="001C451E"/>
    <w:rsid w:val="001D389D"/>
    <w:rsid w:val="001E3515"/>
    <w:rsid w:val="001E4059"/>
    <w:rsid w:val="001F591E"/>
    <w:rsid w:val="00200683"/>
    <w:rsid w:val="002170EF"/>
    <w:rsid w:val="002171FA"/>
    <w:rsid w:val="0022231A"/>
    <w:rsid w:val="00235A8A"/>
    <w:rsid w:val="00243C88"/>
    <w:rsid w:val="00255439"/>
    <w:rsid w:val="00267568"/>
    <w:rsid w:val="002841FD"/>
    <w:rsid w:val="0029700D"/>
    <w:rsid w:val="002C1AE3"/>
    <w:rsid w:val="002C2012"/>
    <w:rsid w:val="002D41C9"/>
    <w:rsid w:val="002F4F29"/>
    <w:rsid w:val="002F7369"/>
    <w:rsid w:val="00302F94"/>
    <w:rsid w:val="00310BB5"/>
    <w:rsid w:val="00315D28"/>
    <w:rsid w:val="00321761"/>
    <w:rsid w:val="00342665"/>
    <w:rsid w:val="003447E0"/>
    <w:rsid w:val="003566D2"/>
    <w:rsid w:val="00361019"/>
    <w:rsid w:val="0037610F"/>
    <w:rsid w:val="0039731C"/>
    <w:rsid w:val="003A003C"/>
    <w:rsid w:val="003A255B"/>
    <w:rsid w:val="003B0478"/>
    <w:rsid w:val="003D294C"/>
    <w:rsid w:val="00415D71"/>
    <w:rsid w:val="004367C2"/>
    <w:rsid w:val="00437D9E"/>
    <w:rsid w:val="00441F6C"/>
    <w:rsid w:val="0044489B"/>
    <w:rsid w:val="004834D1"/>
    <w:rsid w:val="004B5CCD"/>
    <w:rsid w:val="004D5CBB"/>
    <w:rsid w:val="004E62D8"/>
    <w:rsid w:val="004E6B39"/>
    <w:rsid w:val="004F5DBB"/>
    <w:rsid w:val="00513630"/>
    <w:rsid w:val="00520BC2"/>
    <w:rsid w:val="0054201B"/>
    <w:rsid w:val="00545C31"/>
    <w:rsid w:val="00545F8C"/>
    <w:rsid w:val="00551F60"/>
    <w:rsid w:val="00555178"/>
    <w:rsid w:val="00561CD8"/>
    <w:rsid w:val="00562F72"/>
    <w:rsid w:val="00566131"/>
    <w:rsid w:val="0056623F"/>
    <w:rsid w:val="005854AA"/>
    <w:rsid w:val="0059542E"/>
    <w:rsid w:val="005B1E69"/>
    <w:rsid w:val="005C4281"/>
    <w:rsid w:val="006034CE"/>
    <w:rsid w:val="00614075"/>
    <w:rsid w:val="0061548B"/>
    <w:rsid w:val="00616992"/>
    <w:rsid w:val="00622578"/>
    <w:rsid w:val="00625209"/>
    <w:rsid w:val="00653567"/>
    <w:rsid w:val="00664829"/>
    <w:rsid w:val="00671F64"/>
    <w:rsid w:val="00675F29"/>
    <w:rsid w:val="00680C75"/>
    <w:rsid w:val="00692533"/>
    <w:rsid w:val="006C0476"/>
    <w:rsid w:val="006C70A1"/>
    <w:rsid w:val="00714039"/>
    <w:rsid w:val="00714EC3"/>
    <w:rsid w:val="00731275"/>
    <w:rsid w:val="007469B1"/>
    <w:rsid w:val="007506FD"/>
    <w:rsid w:val="0075663F"/>
    <w:rsid w:val="00770FA6"/>
    <w:rsid w:val="007851D1"/>
    <w:rsid w:val="007A3D71"/>
    <w:rsid w:val="007A5171"/>
    <w:rsid w:val="007C53B9"/>
    <w:rsid w:val="007C78B7"/>
    <w:rsid w:val="007D7784"/>
    <w:rsid w:val="00801EAF"/>
    <w:rsid w:val="00816030"/>
    <w:rsid w:val="008272EB"/>
    <w:rsid w:val="00832452"/>
    <w:rsid w:val="00851F67"/>
    <w:rsid w:val="00853351"/>
    <w:rsid w:val="00896962"/>
    <w:rsid w:val="008A3000"/>
    <w:rsid w:val="008C44EC"/>
    <w:rsid w:val="008D15F8"/>
    <w:rsid w:val="008D2BA3"/>
    <w:rsid w:val="008D5EEE"/>
    <w:rsid w:val="008E2C57"/>
    <w:rsid w:val="00901ABC"/>
    <w:rsid w:val="00901E44"/>
    <w:rsid w:val="00903A9E"/>
    <w:rsid w:val="00915E04"/>
    <w:rsid w:val="00926B3E"/>
    <w:rsid w:val="00931EB1"/>
    <w:rsid w:val="00943948"/>
    <w:rsid w:val="00943FD1"/>
    <w:rsid w:val="009653C8"/>
    <w:rsid w:val="009B67EF"/>
    <w:rsid w:val="009D401A"/>
    <w:rsid w:val="009E79DE"/>
    <w:rsid w:val="00A06692"/>
    <w:rsid w:val="00A40A98"/>
    <w:rsid w:val="00A4233A"/>
    <w:rsid w:val="00A67C70"/>
    <w:rsid w:val="00A70FC5"/>
    <w:rsid w:val="00A91640"/>
    <w:rsid w:val="00A94CE6"/>
    <w:rsid w:val="00A95568"/>
    <w:rsid w:val="00A9612E"/>
    <w:rsid w:val="00AB6C9C"/>
    <w:rsid w:val="00B044B3"/>
    <w:rsid w:val="00B1276F"/>
    <w:rsid w:val="00B21876"/>
    <w:rsid w:val="00B334A9"/>
    <w:rsid w:val="00B43400"/>
    <w:rsid w:val="00BA0C6E"/>
    <w:rsid w:val="00BA50D6"/>
    <w:rsid w:val="00BA7E97"/>
    <w:rsid w:val="00BC1395"/>
    <w:rsid w:val="00BD6409"/>
    <w:rsid w:val="00BF3391"/>
    <w:rsid w:val="00C04B00"/>
    <w:rsid w:val="00C06CD2"/>
    <w:rsid w:val="00C22062"/>
    <w:rsid w:val="00C26977"/>
    <w:rsid w:val="00C52C6B"/>
    <w:rsid w:val="00C57F69"/>
    <w:rsid w:val="00C659CE"/>
    <w:rsid w:val="00C70806"/>
    <w:rsid w:val="00CA5CCD"/>
    <w:rsid w:val="00CF30CB"/>
    <w:rsid w:val="00CF79F5"/>
    <w:rsid w:val="00D05B40"/>
    <w:rsid w:val="00D15237"/>
    <w:rsid w:val="00D42C5A"/>
    <w:rsid w:val="00D57FDD"/>
    <w:rsid w:val="00D74FCC"/>
    <w:rsid w:val="00DF75D4"/>
    <w:rsid w:val="00E067CA"/>
    <w:rsid w:val="00E0755A"/>
    <w:rsid w:val="00E32973"/>
    <w:rsid w:val="00E47A11"/>
    <w:rsid w:val="00E6473C"/>
    <w:rsid w:val="00E654D6"/>
    <w:rsid w:val="00E71BDA"/>
    <w:rsid w:val="00E76D43"/>
    <w:rsid w:val="00E87D97"/>
    <w:rsid w:val="00EB303E"/>
    <w:rsid w:val="00ED4DFA"/>
    <w:rsid w:val="00F05895"/>
    <w:rsid w:val="00F07579"/>
    <w:rsid w:val="00F23A18"/>
    <w:rsid w:val="00F23E76"/>
    <w:rsid w:val="00F3441A"/>
    <w:rsid w:val="00F34591"/>
    <w:rsid w:val="00F51D27"/>
    <w:rsid w:val="00F664C0"/>
    <w:rsid w:val="00F75026"/>
    <w:rsid w:val="00F96BC3"/>
    <w:rsid w:val="00FC76FE"/>
    <w:rsid w:val="00FD4C8A"/>
    <w:rsid w:val="00FE2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0FB90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2"/>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9653C8"/>
    <w:rPr>
      <w:rFonts w:ascii="Times New Roman" w:hAnsi="Times New Roman" w:cs="Times New Roman"/>
      <w:sz w:val="24"/>
      <w:szCs w:val="24"/>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
    <w:name w:val="footnote"/>
    <w:basedOn w:val="Funotentext"/>
    <w:autoRedefine/>
    <w:qFormat/>
    <w:rsid w:val="00653567"/>
    <w:pPr>
      <w:overflowPunct w:val="0"/>
      <w:autoSpaceDE w:val="0"/>
      <w:autoSpaceDN w:val="0"/>
      <w:adjustRightInd w:val="0"/>
      <w:spacing w:line="240" w:lineRule="atLeast"/>
      <w:ind w:firstLine="426"/>
      <w:jc w:val="both"/>
      <w:textAlignment w:val="baseline"/>
    </w:pPr>
    <w:rPr>
      <w:rFonts w:ascii="Times" w:eastAsia="Times New Roman" w:hAnsi="Times" w:cs="Times New Roman"/>
      <w:sz w:val="18"/>
      <w:szCs w:val="18"/>
      <w:lang w:eastAsia="de-DE"/>
    </w:rPr>
  </w:style>
  <w:style w:type="paragraph" w:styleId="Funotentext">
    <w:name w:val="footnote text"/>
    <w:basedOn w:val="Standard"/>
    <w:link w:val="FunotentextZchn"/>
    <w:uiPriority w:val="99"/>
    <w:semiHidden/>
    <w:unhideWhenUsed/>
    <w:rsid w:val="00653567"/>
    <w:rPr>
      <w:rFonts w:asciiTheme="majorHAnsi" w:hAnsiTheme="majorHAnsi" w:cstheme="minorBidi"/>
      <w:lang w:val="en-US" w:eastAsia="ja-JP"/>
    </w:rPr>
  </w:style>
  <w:style w:type="character" w:customStyle="1" w:styleId="FunotentextZchn">
    <w:name w:val="Fußnotentext Zchn"/>
    <w:basedOn w:val="Absatz-Standardschriftart"/>
    <w:link w:val="Funotentext"/>
    <w:uiPriority w:val="99"/>
    <w:semiHidden/>
    <w:rsid w:val="00653567"/>
    <w:rPr>
      <w:rFonts w:eastAsiaTheme="minorHAnsi"/>
      <w:sz w:val="24"/>
      <w:szCs w:val="24"/>
    </w:rPr>
  </w:style>
  <w:style w:type="paragraph" w:styleId="Kopfzeile">
    <w:name w:val="header"/>
    <w:basedOn w:val="Standard"/>
    <w:link w:val="KopfzeileZchn"/>
    <w:uiPriority w:val="99"/>
    <w:unhideWhenUsed/>
    <w:rsid w:val="00C06CD2"/>
    <w:pPr>
      <w:tabs>
        <w:tab w:val="center" w:pos="4320"/>
        <w:tab w:val="right" w:pos="8640"/>
      </w:tabs>
    </w:pPr>
    <w:rPr>
      <w:rFonts w:asciiTheme="majorHAnsi" w:hAnsiTheme="majorHAnsi" w:cstheme="minorBidi"/>
      <w:sz w:val="22"/>
      <w:szCs w:val="22"/>
      <w:lang w:val="en-US" w:eastAsia="ja-JP"/>
    </w:rPr>
  </w:style>
  <w:style w:type="character" w:customStyle="1" w:styleId="KopfzeileZchn">
    <w:name w:val="Kopfzeile Zchn"/>
    <w:basedOn w:val="Absatz-Standardschriftart"/>
    <w:link w:val="Kopfzeile"/>
    <w:uiPriority w:val="99"/>
    <w:rsid w:val="00C06CD2"/>
  </w:style>
  <w:style w:type="paragraph" w:styleId="Fuzeile">
    <w:name w:val="footer"/>
    <w:basedOn w:val="Standard"/>
    <w:link w:val="FuzeileZchn"/>
    <w:uiPriority w:val="99"/>
    <w:unhideWhenUsed/>
    <w:rsid w:val="00C06CD2"/>
    <w:pPr>
      <w:tabs>
        <w:tab w:val="center" w:pos="4320"/>
        <w:tab w:val="right" w:pos="8640"/>
      </w:tabs>
    </w:pPr>
    <w:rPr>
      <w:rFonts w:asciiTheme="majorHAnsi" w:hAnsiTheme="majorHAnsi" w:cstheme="minorBidi"/>
      <w:sz w:val="22"/>
      <w:szCs w:val="22"/>
      <w:lang w:val="en-US" w:eastAsia="ja-JP"/>
    </w:rPr>
  </w:style>
  <w:style w:type="character" w:customStyle="1" w:styleId="FuzeileZchn">
    <w:name w:val="Fußzeile Zchn"/>
    <w:basedOn w:val="Absatz-Standardschriftart"/>
    <w:link w:val="Fuzeile"/>
    <w:uiPriority w:val="99"/>
    <w:rsid w:val="00C06CD2"/>
  </w:style>
  <w:style w:type="paragraph" w:styleId="Sprechblasentext">
    <w:name w:val="Balloon Text"/>
    <w:basedOn w:val="Standard"/>
    <w:link w:val="SprechblasentextZchn"/>
    <w:uiPriority w:val="99"/>
    <w:semiHidden/>
    <w:unhideWhenUsed/>
    <w:rsid w:val="00C06CD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06CD2"/>
    <w:rPr>
      <w:rFonts w:ascii="Lucida Grande" w:hAnsi="Lucida Grande" w:cs="Lucida Grande"/>
      <w:sz w:val="18"/>
      <w:szCs w:val="18"/>
    </w:rPr>
  </w:style>
  <w:style w:type="character" w:styleId="Link">
    <w:name w:val="Hyperlink"/>
    <w:basedOn w:val="Absatz-Standardschriftart"/>
    <w:uiPriority w:val="99"/>
    <w:unhideWhenUsed/>
    <w:rsid w:val="00714039"/>
    <w:rPr>
      <w:color w:val="0000FF" w:themeColor="hyperlink"/>
      <w:u w:val="single"/>
    </w:rPr>
  </w:style>
  <w:style w:type="paragraph" w:styleId="Listenabsatz">
    <w:name w:val="List Paragraph"/>
    <w:basedOn w:val="Standard"/>
    <w:uiPriority w:val="34"/>
    <w:qFormat/>
    <w:rsid w:val="00310BB5"/>
    <w:pPr>
      <w:ind w:left="720"/>
      <w:contextualSpacing/>
    </w:pPr>
    <w:rPr>
      <w:rFonts w:asciiTheme="majorHAnsi" w:hAnsiTheme="majorHAnsi" w:cstheme="minorBidi"/>
      <w:sz w:val="22"/>
      <w:szCs w:val="22"/>
      <w:lang w:val="en-US" w:eastAsia="ja-JP"/>
    </w:rPr>
  </w:style>
  <w:style w:type="character" w:styleId="Kommentarzeichen">
    <w:name w:val="annotation reference"/>
    <w:basedOn w:val="Absatz-Standardschriftart"/>
    <w:uiPriority w:val="99"/>
    <w:semiHidden/>
    <w:unhideWhenUsed/>
    <w:rsid w:val="005854AA"/>
    <w:rPr>
      <w:sz w:val="16"/>
      <w:szCs w:val="16"/>
    </w:rPr>
  </w:style>
  <w:style w:type="paragraph" w:styleId="Kommentartext">
    <w:name w:val="annotation text"/>
    <w:basedOn w:val="Standard"/>
    <w:link w:val="KommentartextZchn"/>
    <w:uiPriority w:val="99"/>
    <w:semiHidden/>
    <w:unhideWhenUsed/>
    <w:rsid w:val="005854AA"/>
    <w:rPr>
      <w:rFonts w:asciiTheme="majorHAnsi" w:hAnsiTheme="majorHAnsi" w:cstheme="minorBidi"/>
      <w:sz w:val="20"/>
      <w:szCs w:val="20"/>
      <w:lang w:val="en-US" w:eastAsia="ja-JP"/>
    </w:rPr>
  </w:style>
  <w:style w:type="character" w:customStyle="1" w:styleId="KommentartextZchn">
    <w:name w:val="Kommentartext Zchn"/>
    <w:basedOn w:val="Absatz-Standardschriftart"/>
    <w:link w:val="Kommentartext"/>
    <w:uiPriority w:val="99"/>
    <w:semiHidden/>
    <w:rsid w:val="005854AA"/>
    <w:rPr>
      <w:sz w:val="20"/>
      <w:szCs w:val="20"/>
    </w:rPr>
  </w:style>
  <w:style w:type="paragraph" w:styleId="Kommentarthema">
    <w:name w:val="annotation subject"/>
    <w:basedOn w:val="Kommentartext"/>
    <w:next w:val="Kommentartext"/>
    <w:link w:val="KommentarthemaZchn"/>
    <w:uiPriority w:val="99"/>
    <w:semiHidden/>
    <w:unhideWhenUsed/>
    <w:rsid w:val="005854AA"/>
    <w:rPr>
      <w:b/>
      <w:bCs/>
    </w:rPr>
  </w:style>
  <w:style w:type="character" w:customStyle="1" w:styleId="KommentarthemaZchn">
    <w:name w:val="Kommentarthema Zchn"/>
    <w:basedOn w:val="KommentartextZchn"/>
    <w:link w:val="Kommentarthema"/>
    <w:uiPriority w:val="99"/>
    <w:semiHidden/>
    <w:rsid w:val="005854AA"/>
    <w:rPr>
      <w:b/>
      <w:bCs/>
      <w:sz w:val="20"/>
      <w:szCs w:val="20"/>
    </w:rPr>
  </w:style>
  <w:style w:type="character" w:styleId="BesuchterLink">
    <w:name w:val="FollowedHyperlink"/>
    <w:basedOn w:val="Absatz-Standardschriftart"/>
    <w:uiPriority w:val="99"/>
    <w:semiHidden/>
    <w:unhideWhenUsed/>
    <w:rsid w:val="003761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1504">
      <w:bodyDiv w:val="1"/>
      <w:marLeft w:val="0"/>
      <w:marRight w:val="0"/>
      <w:marTop w:val="0"/>
      <w:marBottom w:val="0"/>
      <w:divBdr>
        <w:top w:val="none" w:sz="0" w:space="0" w:color="auto"/>
        <w:left w:val="none" w:sz="0" w:space="0" w:color="auto"/>
        <w:bottom w:val="none" w:sz="0" w:space="0" w:color="auto"/>
        <w:right w:val="none" w:sz="0" w:space="0" w:color="auto"/>
      </w:divBdr>
    </w:div>
    <w:div w:id="74323829">
      <w:bodyDiv w:val="1"/>
      <w:marLeft w:val="0"/>
      <w:marRight w:val="0"/>
      <w:marTop w:val="0"/>
      <w:marBottom w:val="0"/>
      <w:divBdr>
        <w:top w:val="none" w:sz="0" w:space="0" w:color="auto"/>
        <w:left w:val="none" w:sz="0" w:space="0" w:color="auto"/>
        <w:bottom w:val="none" w:sz="0" w:space="0" w:color="auto"/>
        <w:right w:val="none" w:sz="0" w:space="0" w:color="auto"/>
      </w:divBdr>
    </w:div>
    <w:div w:id="110050478">
      <w:bodyDiv w:val="1"/>
      <w:marLeft w:val="0"/>
      <w:marRight w:val="0"/>
      <w:marTop w:val="0"/>
      <w:marBottom w:val="0"/>
      <w:divBdr>
        <w:top w:val="none" w:sz="0" w:space="0" w:color="auto"/>
        <w:left w:val="none" w:sz="0" w:space="0" w:color="auto"/>
        <w:bottom w:val="none" w:sz="0" w:space="0" w:color="auto"/>
        <w:right w:val="none" w:sz="0" w:space="0" w:color="auto"/>
      </w:divBdr>
    </w:div>
    <w:div w:id="235629579">
      <w:bodyDiv w:val="1"/>
      <w:marLeft w:val="0"/>
      <w:marRight w:val="0"/>
      <w:marTop w:val="0"/>
      <w:marBottom w:val="0"/>
      <w:divBdr>
        <w:top w:val="none" w:sz="0" w:space="0" w:color="auto"/>
        <w:left w:val="none" w:sz="0" w:space="0" w:color="auto"/>
        <w:bottom w:val="none" w:sz="0" w:space="0" w:color="auto"/>
        <w:right w:val="none" w:sz="0" w:space="0" w:color="auto"/>
      </w:divBdr>
    </w:div>
    <w:div w:id="285888686">
      <w:bodyDiv w:val="1"/>
      <w:marLeft w:val="0"/>
      <w:marRight w:val="0"/>
      <w:marTop w:val="0"/>
      <w:marBottom w:val="0"/>
      <w:divBdr>
        <w:top w:val="none" w:sz="0" w:space="0" w:color="auto"/>
        <w:left w:val="none" w:sz="0" w:space="0" w:color="auto"/>
        <w:bottom w:val="none" w:sz="0" w:space="0" w:color="auto"/>
        <w:right w:val="none" w:sz="0" w:space="0" w:color="auto"/>
      </w:divBdr>
      <w:divsChild>
        <w:div w:id="457452687">
          <w:marLeft w:val="0"/>
          <w:marRight w:val="0"/>
          <w:marTop w:val="0"/>
          <w:marBottom w:val="0"/>
          <w:divBdr>
            <w:top w:val="none" w:sz="0" w:space="0" w:color="auto"/>
            <w:left w:val="none" w:sz="0" w:space="0" w:color="auto"/>
            <w:bottom w:val="none" w:sz="0" w:space="0" w:color="auto"/>
            <w:right w:val="none" w:sz="0" w:space="0" w:color="auto"/>
          </w:divBdr>
        </w:div>
      </w:divsChild>
    </w:div>
    <w:div w:id="315034990">
      <w:bodyDiv w:val="1"/>
      <w:marLeft w:val="0"/>
      <w:marRight w:val="0"/>
      <w:marTop w:val="0"/>
      <w:marBottom w:val="0"/>
      <w:divBdr>
        <w:top w:val="none" w:sz="0" w:space="0" w:color="auto"/>
        <w:left w:val="none" w:sz="0" w:space="0" w:color="auto"/>
        <w:bottom w:val="none" w:sz="0" w:space="0" w:color="auto"/>
        <w:right w:val="none" w:sz="0" w:space="0" w:color="auto"/>
      </w:divBdr>
    </w:div>
    <w:div w:id="366218384">
      <w:bodyDiv w:val="1"/>
      <w:marLeft w:val="0"/>
      <w:marRight w:val="0"/>
      <w:marTop w:val="0"/>
      <w:marBottom w:val="0"/>
      <w:divBdr>
        <w:top w:val="none" w:sz="0" w:space="0" w:color="auto"/>
        <w:left w:val="none" w:sz="0" w:space="0" w:color="auto"/>
        <w:bottom w:val="none" w:sz="0" w:space="0" w:color="auto"/>
        <w:right w:val="none" w:sz="0" w:space="0" w:color="auto"/>
      </w:divBdr>
    </w:div>
    <w:div w:id="368263520">
      <w:bodyDiv w:val="1"/>
      <w:marLeft w:val="0"/>
      <w:marRight w:val="0"/>
      <w:marTop w:val="0"/>
      <w:marBottom w:val="0"/>
      <w:divBdr>
        <w:top w:val="none" w:sz="0" w:space="0" w:color="auto"/>
        <w:left w:val="none" w:sz="0" w:space="0" w:color="auto"/>
        <w:bottom w:val="none" w:sz="0" w:space="0" w:color="auto"/>
        <w:right w:val="none" w:sz="0" w:space="0" w:color="auto"/>
      </w:divBdr>
    </w:div>
    <w:div w:id="431777483">
      <w:bodyDiv w:val="1"/>
      <w:marLeft w:val="0"/>
      <w:marRight w:val="0"/>
      <w:marTop w:val="0"/>
      <w:marBottom w:val="0"/>
      <w:divBdr>
        <w:top w:val="none" w:sz="0" w:space="0" w:color="auto"/>
        <w:left w:val="none" w:sz="0" w:space="0" w:color="auto"/>
        <w:bottom w:val="none" w:sz="0" w:space="0" w:color="auto"/>
        <w:right w:val="none" w:sz="0" w:space="0" w:color="auto"/>
      </w:divBdr>
    </w:div>
    <w:div w:id="449668503">
      <w:bodyDiv w:val="1"/>
      <w:marLeft w:val="0"/>
      <w:marRight w:val="0"/>
      <w:marTop w:val="0"/>
      <w:marBottom w:val="0"/>
      <w:divBdr>
        <w:top w:val="none" w:sz="0" w:space="0" w:color="auto"/>
        <w:left w:val="none" w:sz="0" w:space="0" w:color="auto"/>
        <w:bottom w:val="none" w:sz="0" w:space="0" w:color="auto"/>
        <w:right w:val="none" w:sz="0" w:space="0" w:color="auto"/>
      </w:divBdr>
      <w:divsChild>
        <w:div w:id="594289103">
          <w:marLeft w:val="0"/>
          <w:marRight w:val="0"/>
          <w:marTop w:val="0"/>
          <w:marBottom w:val="0"/>
          <w:divBdr>
            <w:top w:val="none" w:sz="0" w:space="0" w:color="auto"/>
            <w:left w:val="none" w:sz="0" w:space="0" w:color="auto"/>
            <w:bottom w:val="none" w:sz="0" w:space="0" w:color="auto"/>
            <w:right w:val="none" w:sz="0" w:space="0" w:color="auto"/>
          </w:divBdr>
        </w:div>
      </w:divsChild>
    </w:div>
    <w:div w:id="500705402">
      <w:bodyDiv w:val="1"/>
      <w:marLeft w:val="0"/>
      <w:marRight w:val="0"/>
      <w:marTop w:val="0"/>
      <w:marBottom w:val="0"/>
      <w:divBdr>
        <w:top w:val="none" w:sz="0" w:space="0" w:color="auto"/>
        <w:left w:val="none" w:sz="0" w:space="0" w:color="auto"/>
        <w:bottom w:val="none" w:sz="0" w:space="0" w:color="auto"/>
        <w:right w:val="none" w:sz="0" w:space="0" w:color="auto"/>
      </w:divBdr>
    </w:div>
    <w:div w:id="743720293">
      <w:bodyDiv w:val="1"/>
      <w:marLeft w:val="0"/>
      <w:marRight w:val="0"/>
      <w:marTop w:val="0"/>
      <w:marBottom w:val="0"/>
      <w:divBdr>
        <w:top w:val="none" w:sz="0" w:space="0" w:color="auto"/>
        <w:left w:val="none" w:sz="0" w:space="0" w:color="auto"/>
        <w:bottom w:val="none" w:sz="0" w:space="0" w:color="auto"/>
        <w:right w:val="none" w:sz="0" w:space="0" w:color="auto"/>
      </w:divBdr>
    </w:div>
    <w:div w:id="777943764">
      <w:bodyDiv w:val="1"/>
      <w:marLeft w:val="0"/>
      <w:marRight w:val="0"/>
      <w:marTop w:val="0"/>
      <w:marBottom w:val="0"/>
      <w:divBdr>
        <w:top w:val="none" w:sz="0" w:space="0" w:color="auto"/>
        <w:left w:val="none" w:sz="0" w:space="0" w:color="auto"/>
        <w:bottom w:val="none" w:sz="0" w:space="0" w:color="auto"/>
        <w:right w:val="none" w:sz="0" w:space="0" w:color="auto"/>
      </w:divBdr>
    </w:div>
    <w:div w:id="1057315309">
      <w:bodyDiv w:val="1"/>
      <w:marLeft w:val="0"/>
      <w:marRight w:val="0"/>
      <w:marTop w:val="0"/>
      <w:marBottom w:val="0"/>
      <w:divBdr>
        <w:top w:val="none" w:sz="0" w:space="0" w:color="auto"/>
        <w:left w:val="none" w:sz="0" w:space="0" w:color="auto"/>
        <w:bottom w:val="none" w:sz="0" w:space="0" w:color="auto"/>
        <w:right w:val="none" w:sz="0" w:space="0" w:color="auto"/>
      </w:divBdr>
    </w:div>
    <w:div w:id="1135561979">
      <w:bodyDiv w:val="1"/>
      <w:marLeft w:val="0"/>
      <w:marRight w:val="0"/>
      <w:marTop w:val="0"/>
      <w:marBottom w:val="0"/>
      <w:divBdr>
        <w:top w:val="none" w:sz="0" w:space="0" w:color="auto"/>
        <w:left w:val="none" w:sz="0" w:space="0" w:color="auto"/>
        <w:bottom w:val="none" w:sz="0" w:space="0" w:color="auto"/>
        <w:right w:val="none" w:sz="0" w:space="0" w:color="auto"/>
      </w:divBdr>
    </w:div>
    <w:div w:id="1216970150">
      <w:bodyDiv w:val="1"/>
      <w:marLeft w:val="0"/>
      <w:marRight w:val="0"/>
      <w:marTop w:val="0"/>
      <w:marBottom w:val="0"/>
      <w:divBdr>
        <w:top w:val="none" w:sz="0" w:space="0" w:color="auto"/>
        <w:left w:val="none" w:sz="0" w:space="0" w:color="auto"/>
        <w:bottom w:val="none" w:sz="0" w:space="0" w:color="auto"/>
        <w:right w:val="none" w:sz="0" w:space="0" w:color="auto"/>
      </w:divBdr>
      <w:divsChild>
        <w:div w:id="863060442">
          <w:marLeft w:val="0"/>
          <w:marRight w:val="0"/>
          <w:marTop w:val="0"/>
          <w:marBottom w:val="0"/>
          <w:divBdr>
            <w:top w:val="none" w:sz="0" w:space="0" w:color="auto"/>
            <w:left w:val="none" w:sz="0" w:space="0" w:color="auto"/>
            <w:bottom w:val="none" w:sz="0" w:space="0" w:color="auto"/>
            <w:right w:val="none" w:sz="0" w:space="0" w:color="auto"/>
          </w:divBdr>
          <w:divsChild>
            <w:div w:id="1917006502">
              <w:marLeft w:val="0"/>
              <w:marRight w:val="0"/>
              <w:marTop w:val="0"/>
              <w:marBottom w:val="0"/>
              <w:divBdr>
                <w:top w:val="none" w:sz="0" w:space="0" w:color="auto"/>
                <w:left w:val="none" w:sz="0" w:space="0" w:color="auto"/>
                <w:bottom w:val="none" w:sz="0" w:space="0" w:color="auto"/>
                <w:right w:val="none" w:sz="0" w:space="0" w:color="auto"/>
              </w:divBdr>
            </w:div>
          </w:divsChild>
        </w:div>
        <w:div w:id="506100540">
          <w:marLeft w:val="0"/>
          <w:marRight w:val="0"/>
          <w:marTop w:val="0"/>
          <w:marBottom w:val="0"/>
          <w:divBdr>
            <w:top w:val="none" w:sz="0" w:space="0" w:color="auto"/>
            <w:left w:val="none" w:sz="0" w:space="0" w:color="auto"/>
            <w:bottom w:val="none" w:sz="0" w:space="0" w:color="auto"/>
            <w:right w:val="none" w:sz="0" w:space="0" w:color="auto"/>
          </w:divBdr>
          <w:divsChild>
            <w:div w:id="19742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00293">
      <w:bodyDiv w:val="1"/>
      <w:marLeft w:val="0"/>
      <w:marRight w:val="0"/>
      <w:marTop w:val="0"/>
      <w:marBottom w:val="0"/>
      <w:divBdr>
        <w:top w:val="none" w:sz="0" w:space="0" w:color="auto"/>
        <w:left w:val="none" w:sz="0" w:space="0" w:color="auto"/>
        <w:bottom w:val="none" w:sz="0" w:space="0" w:color="auto"/>
        <w:right w:val="none" w:sz="0" w:space="0" w:color="auto"/>
      </w:divBdr>
    </w:div>
    <w:div w:id="1258364522">
      <w:bodyDiv w:val="1"/>
      <w:marLeft w:val="0"/>
      <w:marRight w:val="0"/>
      <w:marTop w:val="0"/>
      <w:marBottom w:val="0"/>
      <w:divBdr>
        <w:top w:val="none" w:sz="0" w:space="0" w:color="auto"/>
        <w:left w:val="none" w:sz="0" w:space="0" w:color="auto"/>
        <w:bottom w:val="none" w:sz="0" w:space="0" w:color="auto"/>
        <w:right w:val="none" w:sz="0" w:space="0" w:color="auto"/>
      </w:divBdr>
    </w:div>
    <w:div w:id="1319654337">
      <w:bodyDiv w:val="1"/>
      <w:marLeft w:val="0"/>
      <w:marRight w:val="0"/>
      <w:marTop w:val="0"/>
      <w:marBottom w:val="0"/>
      <w:divBdr>
        <w:top w:val="none" w:sz="0" w:space="0" w:color="auto"/>
        <w:left w:val="none" w:sz="0" w:space="0" w:color="auto"/>
        <w:bottom w:val="none" w:sz="0" w:space="0" w:color="auto"/>
        <w:right w:val="none" w:sz="0" w:space="0" w:color="auto"/>
      </w:divBdr>
    </w:div>
    <w:div w:id="1383750926">
      <w:bodyDiv w:val="1"/>
      <w:marLeft w:val="0"/>
      <w:marRight w:val="0"/>
      <w:marTop w:val="0"/>
      <w:marBottom w:val="0"/>
      <w:divBdr>
        <w:top w:val="none" w:sz="0" w:space="0" w:color="auto"/>
        <w:left w:val="none" w:sz="0" w:space="0" w:color="auto"/>
        <w:bottom w:val="none" w:sz="0" w:space="0" w:color="auto"/>
        <w:right w:val="none" w:sz="0" w:space="0" w:color="auto"/>
      </w:divBdr>
    </w:div>
    <w:div w:id="1434087347">
      <w:bodyDiv w:val="1"/>
      <w:marLeft w:val="0"/>
      <w:marRight w:val="0"/>
      <w:marTop w:val="0"/>
      <w:marBottom w:val="0"/>
      <w:divBdr>
        <w:top w:val="none" w:sz="0" w:space="0" w:color="auto"/>
        <w:left w:val="none" w:sz="0" w:space="0" w:color="auto"/>
        <w:bottom w:val="none" w:sz="0" w:space="0" w:color="auto"/>
        <w:right w:val="none" w:sz="0" w:space="0" w:color="auto"/>
      </w:divBdr>
    </w:div>
    <w:div w:id="1550335299">
      <w:bodyDiv w:val="1"/>
      <w:marLeft w:val="0"/>
      <w:marRight w:val="0"/>
      <w:marTop w:val="0"/>
      <w:marBottom w:val="0"/>
      <w:divBdr>
        <w:top w:val="none" w:sz="0" w:space="0" w:color="auto"/>
        <w:left w:val="none" w:sz="0" w:space="0" w:color="auto"/>
        <w:bottom w:val="none" w:sz="0" w:space="0" w:color="auto"/>
        <w:right w:val="none" w:sz="0" w:space="0" w:color="auto"/>
      </w:divBdr>
    </w:div>
    <w:div w:id="1632517049">
      <w:bodyDiv w:val="1"/>
      <w:marLeft w:val="0"/>
      <w:marRight w:val="0"/>
      <w:marTop w:val="0"/>
      <w:marBottom w:val="0"/>
      <w:divBdr>
        <w:top w:val="none" w:sz="0" w:space="0" w:color="auto"/>
        <w:left w:val="none" w:sz="0" w:space="0" w:color="auto"/>
        <w:bottom w:val="none" w:sz="0" w:space="0" w:color="auto"/>
        <w:right w:val="none" w:sz="0" w:space="0" w:color="auto"/>
      </w:divBdr>
    </w:div>
    <w:div w:id="1652170866">
      <w:bodyDiv w:val="1"/>
      <w:marLeft w:val="0"/>
      <w:marRight w:val="0"/>
      <w:marTop w:val="0"/>
      <w:marBottom w:val="0"/>
      <w:divBdr>
        <w:top w:val="none" w:sz="0" w:space="0" w:color="auto"/>
        <w:left w:val="none" w:sz="0" w:space="0" w:color="auto"/>
        <w:bottom w:val="none" w:sz="0" w:space="0" w:color="auto"/>
        <w:right w:val="none" w:sz="0" w:space="0" w:color="auto"/>
      </w:divBdr>
    </w:div>
    <w:div w:id="1658653113">
      <w:bodyDiv w:val="1"/>
      <w:marLeft w:val="0"/>
      <w:marRight w:val="0"/>
      <w:marTop w:val="0"/>
      <w:marBottom w:val="0"/>
      <w:divBdr>
        <w:top w:val="none" w:sz="0" w:space="0" w:color="auto"/>
        <w:left w:val="none" w:sz="0" w:space="0" w:color="auto"/>
        <w:bottom w:val="none" w:sz="0" w:space="0" w:color="auto"/>
        <w:right w:val="none" w:sz="0" w:space="0" w:color="auto"/>
      </w:divBdr>
    </w:div>
    <w:div w:id="1665429621">
      <w:bodyDiv w:val="1"/>
      <w:marLeft w:val="0"/>
      <w:marRight w:val="0"/>
      <w:marTop w:val="0"/>
      <w:marBottom w:val="0"/>
      <w:divBdr>
        <w:top w:val="none" w:sz="0" w:space="0" w:color="auto"/>
        <w:left w:val="none" w:sz="0" w:space="0" w:color="auto"/>
        <w:bottom w:val="none" w:sz="0" w:space="0" w:color="auto"/>
        <w:right w:val="none" w:sz="0" w:space="0" w:color="auto"/>
      </w:divBdr>
    </w:div>
    <w:div w:id="1689872616">
      <w:bodyDiv w:val="1"/>
      <w:marLeft w:val="0"/>
      <w:marRight w:val="0"/>
      <w:marTop w:val="0"/>
      <w:marBottom w:val="0"/>
      <w:divBdr>
        <w:top w:val="none" w:sz="0" w:space="0" w:color="auto"/>
        <w:left w:val="none" w:sz="0" w:space="0" w:color="auto"/>
        <w:bottom w:val="none" w:sz="0" w:space="0" w:color="auto"/>
        <w:right w:val="none" w:sz="0" w:space="0" w:color="auto"/>
      </w:divBdr>
    </w:div>
    <w:div w:id="1765493424">
      <w:bodyDiv w:val="1"/>
      <w:marLeft w:val="0"/>
      <w:marRight w:val="0"/>
      <w:marTop w:val="0"/>
      <w:marBottom w:val="0"/>
      <w:divBdr>
        <w:top w:val="none" w:sz="0" w:space="0" w:color="auto"/>
        <w:left w:val="none" w:sz="0" w:space="0" w:color="auto"/>
        <w:bottom w:val="none" w:sz="0" w:space="0" w:color="auto"/>
        <w:right w:val="none" w:sz="0" w:space="0" w:color="auto"/>
      </w:divBdr>
    </w:div>
    <w:div w:id="1958754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dx.doi.org/10.1561/108.00000003" TargetMode="External"/><Relationship Id="rId21" Type="http://schemas.openxmlformats.org/officeDocument/2006/relationships/hyperlink" Target="http://dx.doi.org/10.1561/108.00000006" TargetMode="External"/><Relationship Id="rId22" Type="http://schemas.openxmlformats.org/officeDocument/2006/relationships/hyperlink" Target="http://dx.doi.org/10.1561/108.00000004" TargetMode="External"/><Relationship Id="rId23" Type="http://schemas.openxmlformats.org/officeDocument/2006/relationships/hyperlink" Target="http://dx.doi.org/10.1561/108.00000001" TargetMode="External"/><Relationship Id="rId24" Type="http://schemas.openxmlformats.org/officeDocument/2006/relationships/hyperlink" Target="http://dx.doi.org/10.1561/108.00000005" TargetMode="External"/><Relationship Id="rId25" Type="http://schemas.openxmlformats.org/officeDocument/2006/relationships/hyperlink" Target="http://dx.doi.org/10.1561/108.00000007" TargetMode="External"/><Relationship Id="rId26" Type="http://schemas.openxmlformats.org/officeDocument/2006/relationships/hyperlink" Target="http://dx.doi.org/10.1561/108.00000008" TargetMode="External"/><Relationship Id="rId27" Type="http://schemas.openxmlformats.org/officeDocument/2006/relationships/hyperlink" Target="http://dx.doi.org/10.1561/108.00000009" TargetMode="External"/><Relationship Id="rId28" Type="http://schemas.openxmlformats.org/officeDocument/2006/relationships/hyperlink" Target="http://dx.doi.org/10.1561/108.00000011" TargetMode="External"/><Relationship Id="rId29" Type="http://schemas.openxmlformats.org/officeDocument/2006/relationships/hyperlink" Target="http://dx.doi.org/10.1561/108.00000015"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dx.doi.org/10.1561/108.00000012" TargetMode="External"/><Relationship Id="rId31" Type="http://schemas.openxmlformats.org/officeDocument/2006/relationships/hyperlink" Target="http://dx.doi.org/10.1561/108.00000013" TargetMode="External"/><Relationship Id="rId32" Type="http://schemas.openxmlformats.org/officeDocument/2006/relationships/hyperlink" Target="http://dx.doi.org/10.1561/108.00000014" TargetMode="External"/><Relationship Id="rId9" Type="http://schemas.openxmlformats.org/officeDocument/2006/relationships/hyperlink" Target="https://www.unibz.it/en/faculties/economics-management/" TargetMode="Externa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unipd.it/en" TargetMode="External"/><Relationship Id="rId33" Type="http://schemas.openxmlformats.org/officeDocument/2006/relationships/hyperlink" Target="http://dx.doi.org/10.1561/108.00000016" TargetMode="External"/><Relationship Id="rId34" Type="http://schemas.openxmlformats.org/officeDocument/2006/relationships/hyperlink" Target="http://dx.doi.org/10.1561/108.00000022" TargetMode="External"/><Relationship Id="rId35" Type="http://schemas.openxmlformats.org/officeDocument/2006/relationships/hyperlink" Target="http://dx.doi.org/10.1561/108.00000020" TargetMode="External"/><Relationship Id="rId36" Type="http://schemas.openxmlformats.org/officeDocument/2006/relationships/hyperlink" Target="http://dx.doi.org/10.1561/108.00000017" TargetMode="External"/><Relationship Id="rId10" Type="http://schemas.openxmlformats.org/officeDocument/2006/relationships/hyperlink" Target="http://www.economia.unipd.it/en/" TargetMode="External"/><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yperlink" Target="http://www.jlfaonline.com" TargetMode="External"/><Relationship Id="rId14" Type="http://schemas.openxmlformats.org/officeDocument/2006/relationships/hyperlink" Target="https://hq.ssrn.com/conference=JLFA-2018" TargetMode="External"/><Relationship Id="rId15" Type="http://schemas.openxmlformats.org/officeDocument/2006/relationships/hyperlink" Target="mailto:Addie_Jackson@ssrn.com" TargetMode="External"/><Relationship Id="rId16" Type="http://schemas.openxmlformats.org/officeDocument/2006/relationships/hyperlink" Target="mailto:amedeo.pugliese@unipd.it" TargetMode="External"/><Relationship Id="rId17" Type="http://schemas.openxmlformats.org/officeDocument/2006/relationships/hyperlink" Target="mailto:Massimiliano.bonacchi@unibz.it" TargetMode="External"/><Relationship Id="rId18" Type="http://schemas.openxmlformats.org/officeDocument/2006/relationships/hyperlink" Target="http://www.jlfaonline.com" TargetMode="External"/><Relationship Id="rId19" Type="http://schemas.openxmlformats.org/officeDocument/2006/relationships/hyperlink" Target="http://dx.doi.org/10.1561/108.00000002" TargetMode="External"/><Relationship Id="rId37" Type="http://schemas.openxmlformats.org/officeDocument/2006/relationships/hyperlink" Target="http://dx.doi.org/10.1561/108.00000018" TargetMode="External"/><Relationship Id="rId38" Type="http://schemas.openxmlformats.org/officeDocument/2006/relationships/hyperlink" Target="http://dx.doi.org/10.1561/108.00000021" TargetMode="External"/><Relationship Id="rId39" Type="http://schemas.openxmlformats.org/officeDocument/2006/relationships/header" Target="header1.xml"/><Relationship Id="rId40" Type="http://schemas.openxmlformats.org/officeDocument/2006/relationships/fontTable" Target="fontTable.xml"/><Relationship Id="rId41" Type="http://schemas.microsoft.com/office/2011/relationships/people" Target="people.xml"/><Relationship Id="rId4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1360</Words>
  <Characters>7155</Characters>
  <Application>Microsoft Macintosh Word</Application>
  <DocSecurity>0</DocSecurity>
  <Lines>102</Lines>
  <Paragraphs>32</Paragraphs>
  <ScaleCrop>false</ScaleCrop>
  <HeadingPairs>
    <vt:vector size="2" baseType="variant">
      <vt:variant>
        <vt:lpstr>Title</vt:lpstr>
      </vt:variant>
      <vt:variant>
        <vt:i4>1</vt:i4>
      </vt:variant>
    </vt:vector>
  </HeadingPairs>
  <TitlesOfParts>
    <vt:vector size="1" baseType="lpstr">
      <vt:lpstr/>
    </vt:vector>
  </TitlesOfParts>
  <Manager/>
  <Company>QUT</Company>
  <LinksUpToDate>false</LinksUpToDate>
  <CharactersWithSpaces>8483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Amedeo Pugliese</dc:creator>
  <cp:keywords/>
  <dc:description/>
  <cp:lastModifiedBy>Dinh, Tami</cp:lastModifiedBy>
  <cp:revision>2</cp:revision>
  <cp:lastPrinted>2016-09-21T10:18:00Z</cp:lastPrinted>
  <dcterms:created xsi:type="dcterms:W3CDTF">2018-01-19T07:07:00Z</dcterms:created>
  <dcterms:modified xsi:type="dcterms:W3CDTF">2018-01-19T07:07:00Z</dcterms:modified>
  <cp:category/>
</cp:coreProperties>
</file>