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0D5" w:rsidRDefault="00C748DB" w:rsidP="00A100D5">
      <w:pPr>
        <w:jc w:val="center"/>
        <w:rPr>
          <w:rFonts w:ascii="Cambria Math" w:hAnsi="Cambria Math" w:cs="Vrinda"/>
          <w:b/>
          <w:i/>
          <w:sz w:val="32"/>
          <w:szCs w:val="32"/>
        </w:rPr>
      </w:pPr>
      <w:r w:rsidRPr="0085504B">
        <w:rPr>
          <w:rFonts w:ascii="Cambria Math" w:hAnsi="Cambria Math" w:cs="Vrinda"/>
          <w:b/>
          <w:i/>
          <w:sz w:val="32"/>
          <w:szCs w:val="32"/>
        </w:rPr>
        <w:t xml:space="preserve">Sustainability Accounting, Management and Policy </w:t>
      </w:r>
      <w:r w:rsidR="00A100D5">
        <w:rPr>
          <w:rFonts w:ascii="Cambria Math" w:hAnsi="Cambria Math" w:cs="Vrinda"/>
          <w:b/>
          <w:i/>
          <w:sz w:val="32"/>
          <w:szCs w:val="32"/>
        </w:rPr>
        <w:t>i</w:t>
      </w:r>
      <w:r w:rsidRPr="0085504B">
        <w:rPr>
          <w:rFonts w:ascii="Cambria Math" w:hAnsi="Cambria Math" w:cs="Vrinda"/>
          <w:b/>
          <w:i/>
          <w:sz w:val="32"/>
          <w:szCs w:val="32"/>
        </w:rPr>
        <w:t>n</w:t>
      </w:r>
      <w:r w:rsidR="00DE6018">
        <w:rPr>
          <w:rFonts w:ascii="Cambria Math" w:hAnsi="Cambria Math" w:cs="Vrinda"/>
          <w:b/>
          <w:i/>
          <w:sz w:val="32"/>
          <w:szCs w:val="32"/>
        </w:rPr>
        <w:t xml:space="preserve"> </w:t>
      </w:r>
    </w:p>
    <w:p w:rsidR="00F51D4B" w:rsidRPr="00A100D5" w:rsidRDefault="00C748DB" w:rsidP="00A100D5">
      <w:pPr>
        <w:jc w:val="center"/>
        <w:rPr>
          <w:rFonts w:ascii="Cambria Math" w:hAnsi="Cambria Math" w:cs="Vrinda"/>
          <w:b/>
          <w:i/>
          <w:sz w:val="32"/>
          <w:szCs w:val="32"/>
        </w:rPr>
      </w:pPr>
      <w:r w:rsidRPr="0085504B">
        <w:rPr>
          <w:rFonts w:ascii="Cambria Math" w:hAnsi="Cambria Math" w:cs="Vrinda"/>
          <w:b/>
          <w:i/>
          <w:sz w:val="32"/>
          <w:szCs w:val="32"/>
        </w:rPr>
        <w:t>Emerging</w:t>
      </w:r>
      <w:r w:rsidR="00884093">
        <w:rPr>
          <w:rFonts w:ascii="Cambria Math" w:hAnsi="Cambria Math" w:cs="Vrinda"/>
          <w:b/>
          <w:i/>
          <w:sz w:val="32"/>
          <w:szCs w:val="32"/>
        </w:rPr>
        <w:t xml:space="preserve"> &amp; Developing</w:t>
      </w:r>
      <w:r w:rsidRPr="0085504B">
        <w:rPr>
          <w:rFonts w:ascii="Cambria Math" w:hAnsi="Cambria Math" w:cs="Vrinda"/>
          <w:b/>
          <w:i/>
          <w:sz w:val="32"/>
          <w:szCs w:val="32"/>
        </w:rPr>
        <w:t xml:space="preserve"> Economies</w:t>
      </w:r>
      <w:r w:rsidR="004704CA" w:rsidRPr="004704CA">
        <w:rPr>
          <w:rStyle w:val="Funotenzeichen"/>
          <w:rFonts w:ascii="Cambria Math" w:hAnsi="Cambria Math" w:cs="Vrinda"/>
          <w:sz w:val="32"/>
          <w:szCs w:val="32"/>
        </w:rPr>
        <w:footnoteReference w:id="1"/>
      </w:r>
    </w:p>
    <w:p w:rsidR="00F51D4B" w:rsidRPr="0085504B" w:rsidRDefault="00F51D4B" w:rsidP="00F51D4B">
      <w:pPr>
        <w:rPr>
          <w:rFonts w:ascii="Cambria Math" w:hAnsi="Cambria Math"/>
          <w:szCs w:val="22"/>
        </w:rPr>
      </w:pPr>
    </w:p>
    <w:p w:rsidR="00A725FE" w:rsidRPr="0085504B" w:rsidRDefault="00662D53" w:rsidP="00F51D4B">
      <w:pPr>
        <w:jc w:val="center"/>
        <w:rPr>
          <w:rFonts w:ascii="Cambria Math" w:hAnsi="Cambria Math"/>
          <w:b/>
          <w:sz w:val="28"/>
          <w:szCs w:val="26"/>
        </w:rPr>
      </w:pPr>
      <w:r w:rsidRPr="0085504B">
        <w:rPr>
          <w:rFonts w:ascii="Cambria Math" w:hAnsi="Cambria Math"/>
          <w:b/>
          <w:sz w:val="28"/>
          <w:szCs w:val="26"/>
        </w:rPr>
        <w:t xml:space="preserve">Special </w:t>
      </w:r>
      <w:r w:rsidR="00A725FE" w:rsidRPr="0085504B">
        <w:rPr>
          <w:rFonts w:ascii="Cambria Math" w:hAnsi="Cambria Math"/>
          <w:b/>
          <w:sz w:val="28"/>
          <w:szCs w:val="26"/>
        </w:rPr>
        <w:t>I</w:t>
      </w:r>
      <w:r w:rsidRPr="0085504B">
        <w:rPr>
          <w:rFonts w:ascii="Cambria Math" w:hAnsi="Cambria Math"/>
          <w:b/>
          <w:sz w:val="28"/>
          <w:szCs w:val="26"/>
        </w:rPr>
        <w:t xml:space="preserve">ssue </w:t>
      </w:r>
      <w:r w:rsidR="00A725FE" w:rsidRPr="0085504B">
        <w:rPr>
          <w:rFonts w:ascii="Cambria Math" w:hAnsi="Cambria Math"/>
          <w:b/>
          <w:sz w:val="28"/>
          <w:szCs w:val="26"/>
        </w:rPr>
        <w:t>C</w:t>
      </w:r>
      <w:r w:rsidRPr="0085504B">
        <w:rPr>
          <w:rFonts w:ascii="Cambria Math" w:hAnsi="Cambria Math"/>
          <w:b/>
          <w:sz w:val="28"/>
          <w:szCs w:val="26"/>
        </w:rPr>
        <w:t xml:space="preserve">all for </w:t>
      </w:r>
      <w:r w:rsidR="00A725FE" w:rsidRPr="0085504B">
        <w:rPr>
          <w:rFonts w:ascii="Cambria Math" w:hAnsi="Cambria Math"/>
          <w:b/>
          <w:sz w:val="28"/>
          <w:szCs w:val="26"/>
        </w:rPr>
        <w:t>P</w:t>
      </w:r>
      <w:r w:rsidRPr="0085504B">
        <w:rPr>
          <w:rFonts w:ascii="Cambria Math" w:hAnsi="Cambria Math"/>
          <w:b/>
          <w:sz w:val="28"/>
          <w:szCs w:val="26"/>
        </w:rPr>
        <w:t xml:space="preserve">apers from </w:t>
      </w:r>
    </w:p>
    <w:p w:rsidR="00F51D4B" w:rsidRPr="0085504B" w:rsidRDefault="00662D53" w:rsidP="00F51D4B">
      <w:pPr>
        <w:jc w:val="center"/>
        <w:rPr>
          <w:rFonts w:ascii="Cambria Math" w:hAnsi="Cambria Math"/>
          <w:b/>
          <w:sz w:val="28"/>
          <w:szCs w:val="26"/>
        </w:rPr>
      </w:pPr>
      <w:r w:rsidRPr="0085504B">
        <w:rPr>
          <w:rFonts w:ascii="Cambria Math" w:hAnsi="Cambria Math"/>
          <w:b/>
          <w:sz w:val="28"/>
          <w:szCs w:val="26"/>
        </w:rPr>
        <w:t>Sustainability Accounting, Management and Policy Journal</w:t>
      </w:r>
      <w:r w:rsidR="00F51D4B" w:rsidRPr="0085504B">
        <w:rPr>
          <w:rFonts w:ascii="Cambria Math" w:hAnsi="Cambria Math"/>
          <w:b/>
          <w:sz w:val="28"/>
          <w:szCs w:val="26"/>
        </w:rPr>
        <w:t xml:space="preserve"> </w:t>
      </w:r>
    </w:p>
    <w:p w:rsidR="00A725FE" w:rsidRPr="0085504B" w:rsidRDefault="00A725FE" w:rsidP="00662D53">
      <w:pPr>
        <w:jc w:val="both"/>
        <w:rPr>
          <w:rFonts w:ascii="Cambria Math" w:hAnsi="Cambria Math"/>
        </w:rPr>
      </w:pPr>
    </w:p>
    <w:p w:rsidR="00F51D4B" w:rsidRPr="0085504B" w:rsidRDefault="00662D53" w:rsidP="00662D53">
      <w:pPr>
        <w:jc w:val="both"/>
        <w:rPr>
          <w:rFonts w:ascii="Cambria Math" w:hAnsi="Cambria Math"/>
          <w:b/>
          <w:u w:val="single"/>
        </w:rPr>
      </w:pPr>
      <w:r w:rsidRPr="0085504B">
        <w:rPr>
          <w:rFonts w:ascii="Cambria Math" w:hAnsi="Cambria Math"/>
          <w:b/>
          <w:u w:val="single"/>
        </w:rPr>
        <w:t>Guest Editors</w:t>
      </w:r>
      <w:r w:rsidR="00F51D4B" w:rsidRPr="0085504B">
        <w:rPr>
          <w:rFonts w:ascii="Cambria Math" w:hAnsi="Cambria Math"/>
          <w:b/>
          <w:u w:val="single"/>
        </w:rPr>
        <w:t xml:space="preserve"> </w:t>
      </w:r>
    </w:p>
    <w:p w:rsidR="00F51D4B" w:rsidRPr="0085504B" w:rsidRDefault="00662D53" w:rsidP="00F51D4B">
      <w:pPr>
        <w:jc w:val="both"/>
        <w:rPr>
          <w:rFonts w:ascii="Cambria Math" w:hAnsi="Cambria Math"/>
        </w:rPr>
      </w:pPr>
      <w:r w:rsidRPr="0085504B">
        <w:rPr>
          <w:rFonts w:ascii="Cambria Math" w:hAnsi="Cambria Math"/>
          <w:b/>
        </w:rPr>
        <w:t xml:space="preserve">Diogenis Baboukardos, </w:t>
      </w:r>
      <w:r w:rsidRPr="0085504B">
        <w:rPr>
          <w:rFonts w:ascii="Cambria Math" w:hAnsi="Cambria Math"/>
        </w:rPr>
        <w:t>Essex Business School</w:t>
      </w:r>
      <w:r w:rsidR="00C748DB" w:rsidRPr="0085504B">
        <w:rPr>
          <w:rFonts w:ascii="Cambria Math" w:hAnsi="Cambria Math"/>
        </w:rPr>
        <w:t>,</w:t>
      </w:r>
      <w:r w:rsidRPr="0085504B">
        <w:rPr>
          <w:rFonts w:ascii="Cambria Math" w:hAnsi="Cambria Math"/>
        </w:rPr>
        <w:t xml:space="preserve"> University of Essex </w:t>
      </w:r>
      <w:hyperlink r:id="rId8" w:history="1">
        <w:r w:rsidRPr="0085504B">
          <w:rPr>
            <w:rStyle w:val="Hyperlink"/>
            <w:rFonts w:ascii="Cambria Math" w:hAnsi="Cambria Math"/>
          </w:rPr>
          <w:t>d.baboukardos@essex.ac.uk</w:t>
        </w:r>
      </w:hyperlink>
      <w:r w:rsidRPr="0085504B">
        <w:rPr>
          <w:rFonts w:ascii="Cambria Math" w:hAnsi="Cambria Math"/>
        </w:rPr>
        <w:t xml:space="preserve"> </w:t>
      </w:r>
    </w:p>
    <w:p w:rsidR="00F93700" w:rsidRPr="00F93700" w:rsidRDefault="00F93700" w:rsidP="00F93700">
      <w:pPr>
        <w:jc w:val="both"/>
        <w:rPr>
          <w:rFonts w:ascii="Cambria Math" w:hAnsi="Cambria Math"/>
        </w:rPr>
      </w:pPr>
      <w:r w:rsidRPr="00F93700">
        <w:rPr>
          <w:rFonts w:ascii="Cambria Math" w:hAnsi="Cambria Math"/>
          <w:b/>
        </w:rPr>
        <w:t>Eshani Beddewela,</w:t>
      </w:r>
      <w:r w:rsidRPr="00F93700">
        <w:rPr>
          <w:rFonts w:ascii="Cambria Math" w:hAnsi="Cambria Math"/>
        </w:rPr>
        <w:t xml:space="preserve"> Huddersfield Business School, University of Huddersfield </w:t>
      </w:r>
      <w:hyperlink r:id="rId9" w:history="1">
        <w:r w:rsidRPr="00F93700">
          <w:rPr>
            <w:rStyle w:val="Hyperlink"/>
            <w:rFonts w:ascii="Cambria Math" w:hAnsi="Cambria Math"/>
          </w:rPr>
          <w:t>E.S.Beddewela@hud.ac.uk</w:t>
        </w:r>
      </w:hyperlink>
      <w:r>
        <w:rPr>
          <w:rFonts w:ascii="Cambria Math" w:hAnsi="Cambria Math"/>
        </w:rPr>
        <w:t xml:space="preserve"> </w:t>
      </w:r>
    </w:p>
    <w:p w:rsidR="00F51D4B" w:rsidRPr="0085504B" w:rsidRDefault="00C748DB" w:rsidP="00F51D4B">
      <w:pPr>
        <w:jc w:val="both"/>
        <w:rPr>
          <w:rFonts w:ascii="Cambria Math" w:hAnsi="Cambria Math"/>
        </w:rPr>
      </w:pPr>
      <w:r w:rsidRPr="0085504B">
        <w:rPr>
          <w:rFonts w:ascii="Cambria Math" w:hAnsi="Cambria Math"/>
          <w:b/>
        </w:rPr>
        <w:t xml:space="preserve">Teerooven Soobaroyen, </w:t>
      </w:r>
      <w:r w:rsidRPr="0085504B">
        <w:rPr>
          <w:rFonts w:ascii="Cambria Math" w:hAnsi="Cambria Math"/>
        </w:rPr>
        <w:t xml:space="preserve">Essex Business School, University of Essex </w:t>
      </w:r>
      <w:hyperlink r:id="rId10" w:history="1">
        <w:r w:rsidRPr="0085504B">
          <w:rPr>
            <w:rStyle w:val="Hyperlink"/>
            <w:rFonts w:ascii="Cambria Math" w:hAnsi="Cambria Math"/>
          </w:rPr>
          <w:t>tsooba@essex.ac.uk</w:t>
        </w:r>
      </w:hyperlink>
      <w:r w:rsidRPr="0085504B">
        <w:rPr>
          <w:rFonts w:ascii="Cambria Math" w:hAnsi="Cambria Math"/>
        </w:rPr>
        <w:t xml:space="preserve"> </w:t>
      </w:r>
    </w:p>
    <w:p w:rsidR="00662D53" w:rsidRDefault="00662D53" w:rsidP="00F51D4B">
      <w:pPr>
        <w:jc w:val="both"/>
        <w:rPr>
          <w:rFonts w:ascii="Cambria Math" w:hAnsi="Cambria Math"/>
        </w:rPr>
      </w:pPr>
    </w:p>
    <w:p w:rsidR="00076A83" w:rsidRPr="0085504B" w:rsidRDefault="00076A83" w:rsidP="00F51D4B">
      <w:pPr>
        <w:jc w:val="both"/>
        <w:rPr>
          <w:rFonts w:ascii="Cambria Math" w:hAnsi="Cambria Math"/>
          <w:b/>
        </w:rPr>
      </w:pPr>
      <w:r w:rsidRPr="0085504B">
        <w:rPr>
          <w:rFonts w:ascii="Cambria Math" w:hAnsi="Cambria Math"/>
          <w:b/>
        </w:rPr>
        <w:t xml:space="preserve">What’s the </w:t>
      </w:r>
      <w:r w:rsidR="005F1530">
        <w:rPr>
          <w:rFonts w:ascii="Cambria Math" w:hAnsi="Cambria Math"/>
          <w:b/>
        </w:rPr>
        <w:t>S</w:t>
      </w:r>
      <w:r w:rsidRPr="0085504B">
        <w:rPr>
          <w:rFonts w:ascii="Cambria Math" w:hAnsi="Cambria Math"/>
          <w:b/>
        </w:rPr>
        <w:t xml:space="preserve">pecial </w:t>
      </w:r>
      <w:r w:rsidR="005F1530">
        <w:rPr>
          <w:rFonts w:ascii="Cambria Math" w:hAnsi="Cambria Math"/>
          <w:b/>
        </w:rPr>
        <w:t>I</w:t>
      </w:r>
      <w:r w:rsidRPr="0085504B">
        <w:rPr>
          <w:rFonts w:ascii="Cambria Math" w:hAnsi="Cambria Math"/>
          <w:b/>
        </w:rPr>
        <w:t>ssue about?</w:t>
      </w:r>
    </w:p>
    <w:p w:rsidR="00F51D4B" w:rsidRPr="0085504B" w:rsidRDefault="00F51D4B" w:rsidP="00F51D4B">
      <w:pPr>
        <w:jc w:val="both"/>
        <w:rPr>
          <w:rFonts w:ascii="Cambria Math" w:hAnsi="Cambria Math"/>
        </w:rPr>
      </w:pPr>
    </w:p>
    <w:p w:rsidR="00281E42" w:rsidRDefault="00A95266" w:rsidP="004A5847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The ever-growing concerns </w:t>
      </w:r>
      <w:r w:rsidR="0073234A">
        <w:rPr>
          <w:rFonts w:ascii="Cambria Math" w:hAnsi="Cambria Math"/>
        </w:rPr>
        <w:t>about</w:t>
      </w:r>
      <w:r>
        <w:rPr>
          <w:rFonts w:ascii="Cambria Math" w:hAnsi="Cambria Math"/>
        </w:rPr>
        <w:t xml:space="preserve"> the social and environmental consequences of </w:t>
      </w:r>
      <w:r w:rsidR="0073234A">
        <w:rPr>
          <w:rFonts w:ascii="Cambria Math" w:hAnsi="Cambria Math"/>
        </w:rPr>
        <w:t>the</w:t>
      </w:r>
      <w:r w:rsidR="00F44E0D">
        <w:rPr>
          <w:rFonts w:ascii="Cambria Math" w:hAnsi="Cambria Math"/>
        </w:rPr>
        <w:t xml:space="preserve"> </w:t>
      </w:r>
      <w:r w:rsidR="00C9039D">
        <w:rPr>
          <w:rFonts w:ascii="Cambria Math" w:hAnsi="Cambria Math"/>
        </w:rPr>
        <w:t xml:space="preserve">prevalent </w:t>
      </w:r>
      <w:r w:rsidR="00FF694F">
        <w:rPr>
          <w:rFonts w:ascii="Cambria Math" w:hAnsi="Cambria Math"/>
        </w:rPr>
        <w:t xml:space="preserve">business </w:t>
      </w:r>
      <w:r w:rsidR="0073234A">
        <w:rPr>
          <w:rFonts w:ascii="Cambria Math" w:hAnsi="Cambria Math"/>
        </w:rPr>
        <w:t xml:space="preserve">model </w:t>
      </w:r>
      <w:r w:rsidR="001A0EA3">
        <w:rPr>
          <w:rFonts w:ascii="Cambria Math" w:hAnsi="Cambria Math"/>
        </w:rPr>
        <w:t xml:space="preserve">of our times </w:t>
      </w:r>
      <w:r w:rsidR="0073234A">
        <w:rPr>
          <w:rFonts w:ascii="Cambria Math" w:hAnsi="Cambria Math"/>
        </w:rPr>
        <w:t>have triggered a vivid debate over the</w:t>
      </w:r>
      <w:r w:rsidR="00CC1A74">
        <w:rPr>
          <w:rFonts w:ascii="Cambria Math" w:hAnsi="Cambria Math"/>
        </w:rPr>
        <w:t xml:space="preserve"> broad </w:t>
      </w:r>
      <w:r w:rsidR="008453AF">
        <w:rPr>
          <w:rFonts w:ascii="Cambria Math" w:hAnsi="Cambria Math"/>
        </w:rPr>
        <w:t>issue</w:t>
      </w:r>
      <w:r w:rsidR="00CC1A74">
        <w:rPr>
          <w:rFonts w:ascii="Cambria Math" w:hAnsi="Cambria Math"/>
        </w:rPr>
        <w:t xml:space="preserve"> of </w:t>
      </w:r>
      <w:r w:rsidR="00CC1A74" w:rsidRPr="00CC1A74">
        <w:rPr>
          <w:rFonts w:ascii="Cambria Math" w:hAnsi="Cambria Math"/>
        </w:rPr>
        <w:t xml:space="preserve">social and environmental </w:t>
      </w:r>
      <w:r w:rsidR="00DF78D0" w:rsidRPr="00DF78D0">
        <w:rPr>
          <w:rFonts w:ascii="Cambria Math" w:hAnsi="Cambria Math"/>
          <w:i/>
        </w:rPr>
        <w:t>S</w:t>
      </w:r>
      <w:r w:rsidR="00CC1A74" w:rsidRPr="00DF78D0">
        <w:rPr>
          <w:rFonts w:ascii="Cambria Math" w:hAnsi="Cambria Math"/>
          <w:i/>
        </w:rPr>
        <w:t>ustainability</w:t>
      </w:r>
      <w:r w:rsidR="00FF694F" w:rsidRPr="00FF694F">
        <w:rPr>
          <w:rFonts w:ascii="Cambria Math" w:hAnsi="Cambria Math"/>
        </w:rPr>
        <w:t>.</w:t>
      </w:r>
      <w:r w:rsidR="000869A5">
        <w:rPr>
          <w:rFonts w:ascii="Cambria Math" w:hAnsi="Cambria Math"/>
        </w:rPr>
        <w:t xml:space="preserve"> </w:t>
      </w:r>
      <w:r w:rsidR="001A0EA3">
        <w:rPr>
          <w:rFonts w:ascii="Cambria Math" w:hAnsi="Cambria Math"/>
        </w:rPr>
        <w:t xml:space="preserve">Recently, </w:t>
      </w:r>
      <w:r w:rsidR="00334BE3">
        <w:rPr>
          <w:rFonts w:ascii="Cambria Math" w:hAnsi="Cambria Math"/>
        </w:rPr>
        <w:t xml:space="preserve">the </w:t>
      </w:r>
      <w:r w:rsidR="008B2B14">
        <w:rPr>
          <w:rFonts w:ascii="Cambria Math" w:hAnsi="Cambria Math"/>
        </w:rPr>
        <w:t>impact of business activities and operations upon; as well as the responsibilities of businesses towards societies and the environment has</w:t>
      </w:r>
      <w:r w:rsidR="00B23750">
        <w:rPr>
          <w:rFonts w:ascii="Cambria Math" w:hAnsi="Cambria Math"/>
        </w:rPr>
        <w:t xml:space="preserve"> b</w:t>
      </w:r>
      <w:r w:rsidR="00A8242D">
        <w:rPr>
          <w:rFonts w:ascii="Cambria Math" w:hAnsi="Cambria Math"/>
        </w:rPr>
        <w:t xml:space="preserve">ecome </w:t>
      </w:r>
      <w:r w:rsidR="00B26DF8">
        <w:rPr>
          <w:rFonts w:ascii="Cambria Math" w:hAnsi="Cambria Math"/>
        </w:rPr>
        <w:t>prominent on</w:t>
      </w:r>
      <w:r w:rsidR="00D04A97">
        <w:rPr>
          <w:rFonts w:ascii="Cambria Math" w:hAnsi="Cambria Math"/>
        </w:rPr>
        <w:t xml:space="preserve"> the agenda of academics, practitioners and policy makers. </w:t>
      </w:r>
      <w:r w:rsidR="00CC1A74">
        <w:rPr>
          <w:rFonts w:ascii="Cambria Math" w:hAnsi="Cambria Math"/>
        </w:rPr>
        <w:t>Nevertheless th</w:t>
      </w:r>
      <w:r w:rsidR="00DF78D0">
        <w:rPr>
          <w:rFonts w:ascii="Cambria Math" w:hAnsi="Cambria Math"/>
        </w:rPr>
        <w:t>e academic</w:t>
      </w:r>
      <w:r w:rsidR="00CC1A74">
        <w:rPr>
          <w:rFonts w:ascii="Cambria Math" w:hAnsi="Cambria Math"/>
        </w:rPr>
        <w:t xml:space="preserve"> debate </w:t>
      </w:r>
      <w:r w:rsidR="00DF78D0">
        <w:rPr>
          <w:rFonts w:ascii="Cambria Math" w:hAnsi="Cambria Math"/>
        </w:rPr>
        <w:t xml:space="preserve">over this issue </w:t>
      </w:r>
      <w:r w:rsidR="00CC1A74">
        <w:rPr>
          <w:rFonts w:ascii="Cambria Math" w:hAnsi="Cambria Math"/>
        </w:rPr>
        <w:t xml:space="preserve">has thus far focused primarily on the </w:t>
      </w:r>
      <w:r w:rsidR="00B046C5">
        <w:rPr>
          <w:rFonts w:ascii="Cambria Math" w:hAnsi="Cambria Math"/>
        </w:rPr>
        <w:t>context of</w:t>
      </w:r>
      <w:r w:rsidR="00856696">
        <w:rPr>
          <w:rFonts w:ascii="Cambria Math" w:hAnsi="Cambria Math"/>
        </w:rPr>
        <w:t xml:space="preserve"> and</w:t>
      </w:r>
      <w:r w:rsidR="00B046C5">
        <w:rPr>
          <w:rFonts w:ascii="Cambria Math" w:hAnsi="Cambria Math"/>
        </w:rPr>
        <w:t xml:space="preserve">, viewpoints from, </w:t>
      </w:r>
      <w:r w:rsidR="00F05221">
        <w:rPr>
          <w:rFonts w:ascii="Cambria Math" w:hAnsi="Cambria Math"/>
        </w:rPr>
        <w:t>advanced</w:t>
      </w:r>
      <w:r w:rsidR="00CC1A74">
        <w:rPr>
          <w:rFonts w:ascii="Cambria Math" w:hAnsi="Cambria Math"/>
        </w:rPr>
        <w:t xml:space="preserve"> western economies</w:t>
      </w:r>
      <w:r w:rsidR="00B046C5">
        <w:rPr>
          <w:rFonts w:ascii="Cambria Math" w:hAnsi="Cambria Math"/>
        </w:rPr>
        <w:t>. A</w:t>
      </w:r>
      <w:r w:rsidR="009C7854">
        <w:rPr>
          <w:rFonts w:ascii="Cambria Math" w:hAnsi="Cambria Math"/>
        </w:rPr>
        <w:t xml:space="preserve">lbeit </w:t>
      </w:r>
      <w:r w:rsidR="00F2153A">
        <w:rPr>
          <w:rFonts w:ascii="Cambria Math" w:hAnsi="Cambria Math"/>
        </w:rPr>
        <w:t>a</w:t>
      </w:r>
      <w:r w:rsidR="001A5AB0">
        <w:rPr>
          <w:rFonts w:ascii="Cambria Math" w:hAnsi="Cambria Math"/>
        </w:rPr>
        <w:t xml:space="preserve"> growing interest</w:t>
      </w:r>
      <w:r w:rsidR="00B046C5">
        <w:rPr>
          <w:rFonts w:ascii="Cambria Math" w:hAnsi="Cambria Math"/>
        </w:rPr>
        <w:t xml:space="preserve"> (e.g. </w:t>
      </w:r>
      <w:r w:rsidR="006448F6">
        <w:rPr>
          <w:rFonts w:ascii="Cambria Math" w:hAnsi="Cambria Math"/>
        </w:rPr>
        <w:t>Jamali et al., 2017)</w:t>
      </w:r>
      <w:r w:rsidR="009C7854">
        <w:rPr>
          <w:rFonts w:ascii="Cambria Math" w:hAnsi="Cambria Math"/>
        </w:rPr>
        <w:t>,</w:t>
      </w:r>
      <w:r w:rsidR="001A5AB0">
        <w:rPr>
          <w:rFonts w:ascii="Cambria Math" w:hAnsi="Cambria Math"/>
        </w:rPr>
        <w:t xml:space="preserve"> </w:t>
      </w:r>
      <w:r w:rsidR="00DF78D0" w:rsidRPr="00DF78D0">
        <w:rPr>
          <w:rFonts w:ascii="Cambria Math" w:hAnsi="Cambria Math"/>
          <w:i/>
        </w:rPr>
        <w:t xml:space="preserve">Emerging </w:t>
      </w:r>
      <w:r w:rsidR="00DF78D0">
        <w:rPr>
          <w:rFonts w:ascii="Cambria Math" w:hAnsi="Cambria Math"/>
          <w:i/>
        </w:rPr>
        <w:t>&amp;</w:t>
      </w:r>
      <w:r w:rsidR="00DF78D0" w:rsidRPr="00DF78D0">
        <w:rPr>
          <w:rFonts w:ascii="Cambria Math" w:hAnsi="Cambria Math"/>
          <w:i/>
        </w:rPr>
        <w:t xml:space="preserve"> Developing Economies</w:t>
      </w:r>
      <w:r w:rsidR="00DF78D0">
        <w:rPr>
          <w:rFonts w:ascii="Cambria Math" w:hAnsi="Cambria Math"/>
        </w:rPr>
        <w:t xml:space="preserve"> (</w:t>
      </w:r>
      <w:r w:rsidR="00F2153A" w:rsidRPr="00F2153A">
        <w:rPr>
          <w:rFonts w:ascii="Cambria Math" w:hAnsi="Cambria Math"/>
        </w:rPr>
        <w:t>E</w:t>
      </w:r>
      <w:r w:rsidR="00F2153A">
        <w:rPr>
          <w:rFonts w:ascii="Cambria Math" w:hAnsi="Cambria Math"/>
        </w:rPr>
        <w:t>DE</w:t>
      </w:r>
      <w:r w:rsidR="00C94D22">
        <w:rPr>
          <w:rFonts w:ascii="Cambria Math" w:hAnsi="Cambria Math"/>
        </w:rPr>
        <w:t>s</w:t>
      </w:r>
      <w:r w:rsidR="00DF78D0">
        <w:rPr>
          <w:rFonts w:ascii="Cambria Math" w:hAnsi="Cambria Math"/>
        </w:rPr>
        <w:t>)</w:t>
      </w:r>
      <w:r w:rsidR="009C7854">
        <w:rPr>
          <w:rFonts w:ascii="Cambria Math" w:hAnsi="Cambria Math"/>
        </w:rPr>
        <w:t xml:space="preserve"> and </w:t>
      </w:r>
      <w:r w:rsidR="001A5AB0">
        <w:rPr>
          <w:rFonts w:ascii="Cambria Math" w:hAnsi="Cambria Math"/>
        </w:rPr>
        <w:t>the</w:t>
      </w:r>
      <w:r w:rsidR="009C7854">
        <w:rPr>
          <w:rFonts w:ascii="Cambria Math" w:hAnsi="Cambria Math"/>
        </w:rPr>
        <w:t>ir</w:t>
      </w:r>
      <w:r w:rsidR="001A5AB0">
        <w:rPr>
          <w:rFonts w:ascii="Cambria Math" w:hAnsi="Cambria Math"/>
        </w:rPr>
        <w:t xml:space="preserve"> particular characteristics </w:t>
      </w:r>
      <w:r w:rsidR="00F44E0D">
        <w:rPr>
          <w:rFonts w:ascii="Cambria Math" w:hAnsi="Cambria Math"/>
        </w:rPr>
        <w:t>remain under-researched (Hopper et al, 2017)</w:t>
      </w:r>
      <w:r w:rsidR="004A5847">
        <w:rPr>
          <w:rFonts w:ascii="Cambria Math" w:hAnsi="Cambria Math"/>
        </w:rPr>
        <w:t xml:space="preserve"> </w:t>
      </w:r>
      <w:r w:rsidR="00A8242D">
        <w:rPr>
          <w:rFonts w:ascii="Cambria Math" w:hAnsi="Cambria Math"/>
        </w:rPr>
        <w:t xml:space="preserve">with </w:t>
      </w:r>
      <w:r w:rsidR="00F05221">
        <w:rPr>
          <w:rFonts w:ascii="Cambria Math" w:hAnsi="Cambria Math"/>
        </w:rPr>
        <w:t xml:space="preserve">most research conducted in EDEs </w:t>
      </w:r>
      <w:r w:rsidR="00A8242D">
        <w:rPr>
          <w:rFonts w:ascii="Cambria Math" w:hAnsi="Cambria Math"/>
        </w:rPr>
        <w:t>being limited to</w:t>
      </w:r>
      <w:r w:rsidR="00F104B6">
        <w:rPr>
          <w:rFonts w:ascii="Cambria Math" w:hAnsi="Cambria Math"/>
        </w:rPr>
        <w:t xml:space="preserve"> </w:t>
      </w:r>
      <w:r w:rsidR="004A5847">
        <w:rPr>
          <w:rFonts w:ascii="Cambria Math" w:hAnsi="Cambria Math"/>
        </w:rPr>
        <w:t xml:space="preserve">descriptive </w:t>
      </w:r>
      <w:r w:rsidR="00A8242D">
        <w:rPr>
          <w:rFonts w:ascii="Cambria Math" w:hAnsi="Cambria Math"/>
        </w:rPr>
        <w:t>studies</w:t>
      </w:r>
      <w:r w:rsidR="00594BB4">
        <w:rPr>
          <w:rFonts w:ascii="Cambria Math" w:hAnsi="Cambria Math"/>
        </w:rPr>
        <w:t>.</w:t>
      </w:r>
    </w:p>
    <w:p w:rsidR="00281E42" w:rsidRDefault="00281E42" w:rsidP="005A3E0B">
      <w:pPr>
        <w:jc w:val="both"/>
        <w:rPr>
          <w:rFonts w:ascii="Cambria Math" w:hAnsi="Cambria Math"/>
        </w:rPr>
      </w:pPr>
    </w:p>
    <w:p w:rsidR="005A3E0B" w:rsidRPr="003D3A3A" w:rsidRDefault="00FD2EFB" w:rsidP="005A3E0B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>This is rather surprising, considering the importance of EDE</w:t>
      </w:r>
      <w:r w:rsidR="008D7883">
        <w:rPr>
          <w:rFonts w:ascii="Cambria Math" w:hAnsi="Cambria Math"/>
        </w:rPr>
        <w:t>s</w:t>
      </w:r>
      <w:r>
        <w:rPr>
          <w:rFonts w:ascii="Cambria Math" w:hAnsi="Cambria Math"/>
        </w:rPr>
        <w:t xml:space="preserve"> in economic, environmental and social terms</w:t>
      </w:r>
      <w:r w:rsidR="00C94D22">
        <w:rPr>
          <w:rFonts w:ascii="Cambria Math" w:hAnsi="Cambria Math"/>
        </w:rPr>
        <w:t>.</w:t>
      </w:r>
      <w:r>
        <w:rPr>
          <w:rFonts w:ascii="Cambria Math" w:hAnsi="Cambria Math"/>
        </w:rPr>
        <w:t xml:space="preserve"> According to </w:t>
      </w:r>
      <w:r w:rsidR="006448F6">
        <w:rPr>
          <w:rFonts w:ascii="Cambria Math" w:hAnsi="Cambria Math"/>
        </w:rPr>
        <w:t>the International Monetary Fund (</w:t>
      </w:r>
      <w:r>
        <w:rPr>
          <w:rFonts w:ascii="Cambria Math" w:hAnsi="Cambria Math"/>
        </w:rPr>
        <w:t>IMF</w:t>
      </w:r>
      <w:r w:rsidR="006448F6">
        <w:rPr>
          <w:rFonts w:ascii="Cambria Math" w:hAnsi="Cambria Math"/>
        </w:rPr>
        <w:t xml:space="preserve">, </w:t>
      </w:r>
      <w:r>
        <w:rPr>
          <w:rFonts w:ascii="Cambria Math" w:hAnsi="Cambria Math"/>
        </w:rPr>
        <w:t>2017)</w:t>
      </w:r>
      <w:r w:rsidR="00DF78D0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</w:t>
      </w:r>
      <w:r w:rsidR="00F2153A" w:rsidRPr="00F2153A">
        <w:rPr>
          <w:rFonts w:ascii="Cambria Math" w:hAnsi="Cambria Math"/>
        </w:rPr>
        <w:t>E</w:t>
      </w:r>
      <w:r>
        <w:rPr>
          <w:rFonts w:ascii="Cambria Math" w:hAnsi="Cambria Math"/>
        </w:rPr>
        <w:t>DE</w:t>
      </w:r>
      <w:r w:rsidR="008D7883">
        <w:rPr>
          <w:rFonts w:ascii="Cambria Math" w:hAnsi="Cambria Math"/>
        </w:rPr>
        <w:t>s</w:t>
      </w:r>
      <w:r>
        <w:rPr>
          <w:rFonts w:ascii="Cambria Math" w:hAnsi="Cambria Math"/>
        </w:rPr>
        <w:t xml:space="preserve"> represent more than 85% of the global population and contribute more than 58% of the global GDP.</w:t>
      </w:r>
      <w:r w:rsidR="0075665B">
        <w:rPr>
          <w:rFonts w:ascii="Cambria Math" w:hAnsi="Cambria Math"/>
        </w:rPr>
        <w:t xml:space="preserve"> Further, phenomena with global impact take place in these </w:t>
      </w:r>
      <w:r w:rsidR="009739BB">
        <w:rPr>
          <w:rFonts w:ascii="Cambria Math" w:hAnsi="Cambria Math"/>
        </w:rPr>
        <w:t>parts of the world</w:t>
      </w:r>
      <w:r w:rsidR="0075665B">
        <w:rPr>
          <w:rFonts w:ascii="Cambria Math" w:hAnsi="Cambria Math"/>
        </w:rPr>
        <w:t xml:space="preserve">. </w:t>
      </w:r>
      <w:r w:rsidR="0075665B" w:rsidRPr="00E47A50">
        <w:rPr>
          <w:rFonts w:ascii="Cambria Math" w:hAnsi="Cambria Math"/>
        </w:rPr>
        <w:t xml:space="preserve">For </w:t>
      </w:r>
      <w:r w:rsidR="0075665B">
        <w:rPr>
          <w:rFonts w:ascii="Cambria Math" w:hAnsi="Cambria Math"/>
        </w:rPr>
        <w:t>instance</w:t>
      </w:r>
      <w:r w:rsidR="0075665B" w:rsidRPr="00E47A50">
        <w:rPr>
          <w:rFonts w:ascii="Cambria Math" w:hAnsi="Cambria Math"/>
        </w:rPr>
        <w:t xml:space="preserve">, the beef and soybean industries </w:t>
      </w:r>
      <w:r w:rsidR="0075665B">
        <w:rPr>
          <w:rFonts w:ascii="Cambria Math" w:hAnsi="Cambria Math"/>
        </w:rPr>
        <w:t xml:space="preserve">have played a major role in the </w:t>
      </w:r>
      <w:r w:rsidR="0075665B" w:rsidRPr="00E47A50">
        <w:rPr>
          <w:rFonts w:ascii="Cambria Math" w:hAnsi="Cambria Math"/>
        </w:rPr>
        <w:t xml:space="preserve">deforestation of </w:t>
      </w:r>
      <w:r w:rsidR="00CF2942">
        <w:rPr>
          <w:rFonts w:ascii="Cambria Math" w:hAnsi="Cambria Math"/>
        </w:rPr>
        <w:t xml:space="preserve">the </w:t>
      </w:r>
      <w:r w:rsidR="00C94D22">
        <w:rPr>
          <w:rFonts w:ascii="Cambria Math" w:hAnsi="Cambria Math"/>
        </w:rPr>
        <w:t xml:space="preserve">Amazon </w:t>
      </w:r>
      <w:r w:rsidR="008D7883">
        <w:rPr>
          <w:rFonts w:ascii="Cambria Math" w:hAnsi="Cambria Math"/>
        </w:rPr>
        <w:t>River</w:t>
      </w:r>
      <w:r w:rsidR="0075665B" w:rsidRPr="00E47A50">
        <w:rPr>
          <w:rFonts w:ascii="Cambria Math" w:hAnsi="Cambria Math"/>
        </w:rPr>
        <w:t xml:space="preserve"> </w:t>
      </w:r>
      <w:r w:rsidR="0075665B">
        <w:rPr>
          <w:rFonts w:ascii="Cambria Math" w:hAnsi="Cambria Math"/>
        </w:rPr>
        <w:t xml:space="preserve">whereas the substantial economic growth of </w:t>
      </w:r>
      <w:r w:rsidR="008F24A9">
        <w:rPr>
          <w:rFonts w:ascii="Cambria Math" w:hAnsi="Cambria Math"/>
        </w:rPr>
        <w:t>some EDEs</w:t>
      </w:r>
      <w:r w:rsidR="0075665B">
        <w:rPr>
          <w:rFonts w:ascii="Cambria Math" w:hAnsi="Cambria Math"/>
        </w:rPr>
        <w:t xml:space="preserve"> has resulted in a steep increase of </w:t>
      </w:r>
      <w:r w:rsidR="008F24A9">
        <w:rPr>
          <w:rFonts w:ascii="Cambria Math" w:hAnsi="Cambria Math"/>
        </w:rPr>
        <w:t>their</w:t>
      </w:r>
      <w:r w:rsidR="0075665B">
        <w:rPr>
          <w:rFonts w:ascii="Cambria Math" w:hAnsi="Cambria Math"/>
        </w:rPr>
        <w:t xml:space="preserve"> carbon footprint.</w:t>
      </w:r>
      <w:r w:rsidR="005A10AE">
        <w:rPr>
          <w:rFonts w:ascii="Cambria Math" w:hAnsi="Cambria Math"/>
        </w:rPr>
        <w:t xml:space="preserve"> </w:t>
      </w:r>
      <w:r w:rsidR="00F25ECD">
        <w:rPr>
          <w:rFonts w:ascii="Cambria Math" w:hAnsi="Cambria Math"/>
        </w:rPr>
        <w:t xml:space="preserve">The important role of EDEs </w:t>
      </w:r>
      <w:r w:rsidR="009739BB">
        <w:rPr>
          <w:rFonts w:ascii="Cambria Math" w:hAnsi="Cambria Math"/>
        </w:rPr>
        <w:t>and the</w:t>
      </w:r>
      <w:r w:rsidR="004704CA">
        <w:rPr>
          <w:rFonts w:ascii="Cambria Math" w:hAnsi="Cambria Math"/>
        </w:rPr>
        <w:t>ir particular needs</w:t>
      </w:r>
      <w:r w:rsidR="009739BB">
        <w:rPr>
          <w:rFonts w:ascii="Cambria Math" w:hAnsi="Cambria Math"/>
        </w:rPr>
        <w:t xml:space="preserve"> </w:t>
      </w:r>
      <w:r w:rsidR="00F25ECD">
        <w:rPr>
          <w:rFonts w:ascii="Cambria Math" w:hAnsi="Cambria Math"/>
        </w:rPr>
        <w:t>ha</w:t>
      </w:r>
      <w:r w:rsidR="004704CA">
        <w:rPr>
          <w:rFonts w:ascii="Cambria Math" w:hAnsi="Cambria Math"/>
        </w:rPr>
        <w:t>ve</w:t>
      </w:r>
      <w:r w:rsidR="00F25ECD">
        <w:rPr>
          <w:rFonts w:ascii="Cambria Math" w:hAnsi="Cambria Math"/>
        </w:rPr>
        <w:t xml:space="preserve"> also</w:t>
      </w:r>
      <w:r w:rsidR="00C926EF">
        <w:rPr>
          <w:rFonts w:ascii="Cambria Math" w:hAnsi="Cambria Math"/>
        </w:rPr>
        <w:t xml:space="preserve"> been</w:t>
      </w:r>
      <w:r w:rsidR="00F25ECD">
        <w:rPr>
          <w:rFonts w:ascii="Cambria Math" w:hAnsi="Cambria Math"/>
        </w:rPr>
        <w:t xml:space="preserve"> stressed in the </w:t>
      </w:r>
      <w:r w:rsidR="00F25ECD" w:rsidRPr="00DC006C">
        <w:rPr>
          <w:rFonts w:ascii="Cambria Math" w:hAnsi="Cambria Math"/>
          <w:i/>
        </w:rPr>
        <w:t>UN 2030 Agenda for Sustainable Development</w:t>
      </w:r>
      <w:r w:rsidR="00DC006C">
        <w:rPr>
          <w:rFonts w:ascii="Cambria Math" w:hAnsi="Cambria Math"/>
        </w:rPr>
        <w:t xml:space="preserve"> (UN General Assembly, 2015)</w:t>
      </w:r>
      <w:r w:rsidR="005A3E0B">
        <w:rPr>
          <w:rFonts w:ascii="Cambria Math" w:hAnsi="Cambria Math"/>
        </w:rPr>
        <w:t xml:space="preserve"> which</w:t>
      </w:r>
      <w:r w:rsidR="004704CA">
        <w:rPr>
          <w:rFonts w:ascii="Cambria Math" w:hAnsi="Cambria Math"/>
        </w:rPr>
        <w:t xml:space="preserve"> calls for special attention towards “</w:t>
      </w:r>
      <w:r w:rsidR="004704CA" w:rsidRPr="004704CA">
        <w:rPr>
          <w:rFonts w:ascii="Cambria Math" w:hAnsi="Cambria Math"/>
          <w:i/>
        </w:rPr>
        <w:t>the most vulnerable countries</w:t>
      </w:r>
      <w:r w:rsidR="004704CA">
        <w:rPr>
          <w:rFonts w:ascii="Cambria Math" w:hAnsi="Cambria Math"/>
        </w:rPr>
        <w:t xml:space="preserve">”, namely African countries, least developed countries, landlocked developing countries, small island developing </w:t>
      </w:r>
      <w:r w:rsidR="006448F6">
        <w:rPr>
          <w:rFonts w:ascii="Cambria Math" w:hAnsi="Cambria Math"/>
        </w:rPr>
        <w:t>s</w:t>
      </w:r>
      <w:r w:rsidR="004704CA">
        <w:rPr>
          <w:rFonts w:ascii="Cambria Math" w:hAnsi="Cambria Math"/>
        </w:rPr>
        <w:t>tates but also middle-income countries</w:t>
      </w:r>
      <w:r w:rsidR="00A933A8">
        <w:rPr>
          <w:rFonts w:ascii="Cambria Math" w:hAnsi="Cambria Math"/>
        </w:rPr>
        <w:t xml:space="preserve">. </w:t>
      </w:r>
      <w:r w:rsidR="00DF78D0">
        <w:rPr>
          <w:rFonts w:ascii="Cambria Math" w:hAnsi="Cambria Math"/>
        </w:rPr>
        <w:t>T</w:t>
      </w:r>
      <w:r w:rsidR="00DF78D0" w:rsidRPr="0085504B">
        <w:rPr>
          <w:rFonts w:ascii="Cambria Math" w:hAnsi="Cambria Math"/>
        </w:rPr>
        <w:t>h</w:t>
      </w:r>
      <w:r w:rsidR="00DF78D0">
        <w:rPr>
          <w:rFonts w:ascii="Cambria Math" w:hAnsi="Cambria Math"/>
        </w:rPr>
        <w:t>is Special Issue aims at</w:t>
      </w:r>
      <w:r w:rsidR="00DF78D0" w:rsidRPr="0085504B">
        <w:rPr>
          <w:rFonts w:ascii="Cambria Math" w:hAnsi="Cambria Math"/>
        </w:rPr>
        <w:t xml:space="preserve"> deepening and broadening </w:t>
      </w:r>
      <w:r w:rsidR="00DF78D0">
        <w:rPr>
          <w:rFonts w:ascii="Cambria Math" w:hAnsi="Cambria Math"/>
        </w:rPr>
        <w:t xml:space="preserve">our </w:t>
      </w:r>
      <w:r w:rsidR="006F63DC">
        <w:rPr>
          <w:rFonts w:ascii="Cambria Math" w:hAnsi="Cambria Math"/>
        </w:rPr>
        <w:t>understanding</w:t>
      </w:r>
      <w:r w:rsidR="00DF78D0" w:rsidRPr="0085504B">
        <w:rPr>
          <w:rFonts w:ascii="Cambria Math" w:hAnsi="Cambria Math"/>
        </w:rPr>
        <w:t xml:space="preserve"> </w:t>
      </w:r>
      <w:r w:rsidR="00A8242D">
        <w:rPr>
          <w:rFonts w:ascii="Cambria Math" w:hAnsi="Cambria Math"/>
        </w:rPr>
        <w:t>pertaining to</w:t>
      </w:r>
      <w:r w:rsidR="00DF78D0" w:rsidRPr="0085504B">
        <w:rPr>
          <w:rFonts w:ascii="Cambria Math" w:hAnsi="Cambria Math"/>
        </w:rPr>
        <w:t xml:space="preserve"> </w:t>
      </w:r>
      <w:r w:rsidR="00B26DF8">
        <w:rPr>
          <w:rFonts w:ascii="Cambria Math" w:hAnsi="Cambria Math"/>
        </w:rPr>
        <w:t xml:space="preserve">Sustainability accounting, management and their related public policies </w:t>
      </w:r>
      <w:r w:rsidR="00DF78D0" w:rsidRPr="0085504B">
        <w:rPr>
          <w:rFonts w:ascii="Cambria Math" w:hAnsi="Cambria Math"/>
        </w:rPr>
        <w:t xml:space="preserve">in </w:t>
      </w:r>
      <w:r w:rsidR="006448F6">
        <w:rPr>
          <w:rFonts w:ascii="Cambria Math" w:hAnsi="Cambria Math"/>
        </w:rPr>
        <w:t xml:space="preserve">the context of </w:t>
      </w:r>
      <w:r w:rsidR="00DF78D0" w:rsidRPr="003D3A3A">
        <w:rPr>
          <w:rFonts w:ascii="Cambria Math" w:hAnsi="Cambria Math"/>
        </w:rPr>
        <w:t>Emerging &amp; Developing Economies.</w:t>
      </w:r>
    </w:p>
    <w:p w:rsidR="005A3E0B" w:rsidRDefault="005A3E0B" w:rsidP="00D04A97">
      <w:pPr>
        <w:jc w:val="both"/>
        <w:rPr>
          <w:rFonts w:ascii="Cambria Math" w:hAnsi="Cambria Math"/>
        </w:rPr>
      </w:pPr>
    </w:p>
    <w:p w:rsidR="00EF32A6" w:rsidRDefault="006F63DC" w:rsidP="00EF32A6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In </w:t>
      </w:r>
      <w:r w:rsidR="006448F6">
        <w:rPr>
          <w:rFonts w:ascii="Cambria Math" w:hAnsi="Cambria Math"/>
        </w:rPr>
        <w:t xml:space="preserve">particular, </w:t>
      </w:r>
      <w:r>
        <w:rPr>
          <w:rFonts w:ascii="Cambria Math" w:hAnsi="Cambria Math"/>
        </w:rPr>
        <w:t>t</w:t>
      </w:r>
      <w:r w:rsidR="00F104B6">
        <w:rPr>
          <w:rFonts w:ascii="Cambria Math" w:hAnsi="Cambria Math"/>
        </w:rPr>
        <w:t>wo</w:t>
      </w:r>
      <w:r>
        <w:rPr>
          <w:rFonts w:ascii="Cambria Math" w:hAnsi="Cambria Math"/>
        </w:rPr>
        <w:t xml:space="preserve"> key aspects in relation to </w:t>
      </w:r>
      <w:r w:rsidRPr="003D3A3A">
        <w:rPr>
          <w:rFonts w:ascii="Cambria Math" w:hAnsi="Cambria Math"/>
        </w:rPr>
        <w:t>Sustainability</w:t>
      </w:r>
      <w:r>
        <w:rPr>
          <w:rFonts w:ascii="Cambria Math" w:hAnsi="Cambria Math"/>
        </w:rPr>
        <w:t xml:space="preserve"> in EDEs shall be stressed. First, the driving forces</w:t>
      </w:r>
      <w:r w:rsidR="00941305">
        <w:rPr>
          <w:rFonts w:ascii="Cambria Math" w:hAnsi="Cambria Math"/>
        </w:rPr>
        <w:t xml:space="preserve"> </w:t>
      </w:r>
      <w:r w:rsidR="00F439F0">
        <w:rPr>
          <w:rFonts w:ascii="Cambria Math" w:hAnsi="Cambria Math"/>
        </w:rPr>
        <w:t>of Sustainability</w:t>
      </w:r>
      <w:r w:rsidR="00A8242D">
        <w:rPr>
          <w:rFonts w:ascii="Cambria Math" w:hAnsi="Cambria Math"/>
        </w:rPr>
        <w:t xml:space="preserve"> in EDEs, emanating from </w:t>
      </w:r>
      <w:r w:rsidR="00A8242D" w:rsidRPr="00F439F0">
        <w:rPr>
          <w:rFonts w:ascii="Cambria Math" w:hAnsi="Cambria Math"/>
        </w:rPr>
        <w:t>institutional</w:t>
      </w:r>
      <w:r w:rsidR="00A8242D">
        <w:rPr>
          <w:rFonts w:ascii="Cambria Math" w:hAnsi="Cambria Math"/>
        </w:rPr>
        <w:t>ly deficient business environments with complex governance systems</w:t>
      </w:r>
      <w:r w:rsidR="00A8242D" w:rsidRPr="00F439F0">
        <w:rPr>
          <w:rFonts w:ascii="Cambria Math" w:hAnsi="Cambria Math"/>
        </w:rPr>
        <w:t>,</w:t>
      </w:r>
      <w:r w:rsidR="00A8242D">
        <w:rPr>
          <w:rFonts w:ascii="Cambria Math" w:hAnsi="Cambria Math"/>
        </w:rPr>
        <w:t xml:space="preserve"> </w:t>
      </w:r>
      <w:r w:rsidR="00F439F0">
        <w:rPr>
          <w:rFonts w:ascii="Cambria Math" w:hAnsi="Cambria Math"/>
        </w:rPr>
        <w:t>may substantially differ in comparison to those found in advanced economies (Hopper et al, 2017; Jamali et al., 2017)</w:t>
      </w:r>
      <w:r w:rsidR="00A8242D">
        <w:rPr>
          <w:rFonts w:ascii="Cambria Math" w:hAnsi="Cambria Math"/>
        </w:rPr>
        <w:t xml:space="preserve">, thus propagating atypical </w:t>
      </w:r>
      <w:r w:rsidR="00F439F0">
        <w:rPr>
          <w:rFonts w:ascii="Cambria Math" w:hAnsi="Cambria Math"/>
        </w:rPr>
        <w:t>Sustainability accounting and management</w:t>
      </w:r>
      <w:r w:rsidR="00B543C6">
        <w:rPr>
          <w:rFonts w:ascii="Cambria Math" w:hAnsi="Cambria Math"/>
        </w:rPr>
        <w:t xml:space="preserve"> </w:t>
      </w:r>
      <w:r w:rsidR="00A8242D">
        <w:rPr>
          <w:rFonts w:ascii="Cambria Math" w:hAnsi="Cambria Math"/>
        </w:rPr>
        <w:t xml:space="preserve">practices in </w:t>
      </w:r>
      <w:r w:rsidR="00B543C6">
        <w:rPr>
          <w:rFonts w:ascii="Cambria Math" w:hAnsi="Cambria Math"/>
        </w:rPr>
        <w:t>businesses and organisat</w:t>
      </w:r>
      <w:r w:rsidR="00EF32A6">
        <w:rPr>
          <w:rFonts w:ascii="Cambria Math" w:hAnsi="Cambria Math"/>
        </w:rPr>
        <w:t>ions</w:t>
      </w:r>
      <w:r w:rsidR="00A8242D">
        <w:rPr>
          <w:rFonts w:ascii="Cambria Math" w:hAnsi="Cambria Math"/>
        </w:rPr>
        <w:t xml:space="preserve"> operating </w:t>
      </w:r>
      <w:r w:rsidR="00F104B6">
        <w:rPr>
          <w:rFonts w:ascii="Cambria Math" w:hAnsi="Cambria Math"/>
        </w:rPr>
        <w:t>in these countries</w:t>
      </w:r>
      <w:r w:rsidR="00EF32A6">
        <w:rPr>
          <w:rFonts w:ascii="Cambria Math" w:hAnsi="Cambria Math"/>
        </w:rPr>
        <w:t xml:space="preserve"> (Zhao, 2014)</w:t>
      </w:r>
      <w:r w:rsidR="00F104B6">
        <w:rPr>
          <w:rFonts w:ascii="Cambria Math" w:hAnsi="Cambria Math"/>
        </w:rPr>
        <w:t>.</w:t>
      </w:r>
      <w:r w:rsidR="00072D29">
        <w:rPr>
          <w:rFonts w:ascii="Cambria Math" w:hAnsi="Cambria Math"/>
        </w:rPr>
        <w:t xml:space="preserve"> In the Bangladeshi context</w:t>
      </w:r>
      <w:r w:rsidR="005D319B">
        <w:rPr>
          <w:rFonts w:ascii="Cambria Math" w:hAnsi="Cambria Math"/>
        </w:rPr>
        <w:t>,</w:t>
      </w:r>
      <w:r w:rsidR="00072D29">
        <w:rPr>
          <w:rFonts w:ascii="Cambria Math" w:hAnsi="Cambria Math"/>
        </w:rPr>
        <w:t xml:space="preserve"> </w:t>
      </w:r>
      <w:r w:rsidR="00072D29" w:rsidRPr="00072D29">
        <w:rPr>
          <w:rFonts w:ascii="Cambria Math" w:hAnsi="Cambria Math"/>
        </w:rPr>
        <w:t>Hossain</w:t>
      </w:r>
      <w:r w:rsidR="00072D29">
        <w:rPr>
          <w:rFonts w:ascii="Cambria Math" w:hAnsi="Cambria Math"/>
        </w:rPr>
        <w:t xml:space="preserve"> et al (2016) provide empirical evidence over these issues highlighting problems in the g</w:t>
      </w:r>
      <w:r w:rsidR="00072D29" w:rsidRPr="00072D29">
        <w:rPr>
          <w:rFonts w:ascii="Cambria Math" w:hAnsi="Cambria Math"/>
        </w:rPr>
        <w:t>overnance of Sustainability</w:t>
      </w:r>
      <w:r w:rsidR="00072D29">
        <w:rPr>
          <w:rFonts w:ascii="Cambria Math" w:hAnsi="Cambria Math"/>
        </w:rPr>
        <w:t>, in the engagement of stakeholders and a lack of policy and monitoring of Sustainability practice.</w:t>
      </w:r>
      <w:r w:rsidR="00DA2A7A">
        <w:rPr>
          <w:rFonts w:ascii="Cambria Math" w:hAnsi="Cambria Math"/>
        </w:rPr>
        <w:t xml:space="preserve"> </w:t>
      </w:r>
      <w:r w:rsidR="003A5328">
        <w:rPr>
          <w:rFonts w:ascii="Cambria Math" w:hAnsi="Cambria Math"/>
        </w:rPr>
        <w:t xml:space="preserve">In the case of Mauritius, </w:t>
      </w:r>
      <w:r w:rsidR="006152F5">
        <w:rPr>
          <w:rFonts w:ascii="Cambria Math" w:hAnsi="Cambria Math"/>
        </w:rPr>
        <w:t xml:space="preserve">a small island developing state, </w:t>
      </w:r>
      <w:r w:rsidR="003A5328">
        <w:rPr>
          <w:rFonts w:ascii="Cambria Math" w:hAnsi="Cambria Math"/>
        </w:rPr>
        <w:t xml:space="preserve">regulatory attempts to intervene in corporate sustainability practices in EDEs </w:t>
      </w:r>
      <w:r w:rsidR="006152F5">
        <w:rPr>
          <w:rFonts w:ascii="Cambria Math" w:hAnsi="Cambria Math"/>
        </w:rPr>
        <w:t>also revealed an absence of monitoring and control (</w:t>
      </w:r>
      <w:r w:rsidR="003A5328">
        <w:rPr>
          <w:rFonts w:ascii="Cambria Math" w:hAnsi="Cambria Math"/>
        </w:rPr>
        <w:t xml:space="preserve">Sannassee et al., 2017). </w:t>
      </w:r>
      <w:r w:rsidR="00F104B6">
        <w:rPr>
          <w:rFonts w:ascii="Cambria Math" w:hAnsi="Cambria Math"/>
        </w:rPr>
        <w:t xml:space="preserve">Nevertheless, </w:t>
      </w:r>
      <w:r w:rsidR="00072D29">
        <w:rPr>
          <w:rFonts w:ascii="Cambria Math" w:hAnsi="Cambria Math"/>
        </w:rPr>
        <w:t>more need</w:t>
      </w:r>
      <w:r w:rsidR="005D319B">
        <w:rPr>
          <w:rFonts w:ascii="Cambria Math" w:hAnsi="Cambria Math"/>
        </w:rPr>
        <w:t>s</w:t>
      </w:r>
      <w:r w:rsidR="00072D29">
        <w:rPr>
          <w:rFonts w:ascii="Cambria Math" w:hAnsi="Cambria Math"/>
        </w:rPr>
        <w:t xml:space="preserve"> to be </w:t>
      </w:r>
      <w:r w:rsidR="005D319B">
        <w:rPr>
          <w:rFonts w:ascii="Cambria Math" w:hAnsi="Cambria Math"/>
        </w:rPr>
        <w:t xml:space="preserve">explored </w:t>
      </w:r>
      <w:r w:rsidR="00072D29">
        <w:rPr>
          <w:rFonts w:ascii="Cambria Math" w:hAnsi="Cambria Math"/>
        </w:rPr>
        <w:t>in order to have a better and</w:t>
      </w:r>
      <w:r w:rsidR="00C12896">
        <w:rPr>
          <w:rFonts w:ascii="Cambria Math" w:hAnsi="Cambria Math"/>
        </w:rPr>
        <w:t xml:space="preserve"> more comprehensive understanding</w:t>
      </w:r>
      <w:r w:rsidR="00072D29">
        <w:rPr>
          <w:rFonts w:ascii="Cambria Math" w:hAnsi="Cambria Math"/>
        </w:rPr>
        <w:t xml:space="preserve"> </w:t>
      </w:r>
      <w:r w:rsidR="00A8242D">
        <w:rPr>
          <w:rFonts w:ascii="Cambria Math" w:hAnsi="Cambria Math"/>
        </w:rPr>
        <w:t>about</w:t>
      </w:r>
      <w:r w:rsidR="00657E20">
        <w:rPr>
          <w:rFonts w:ascii="Cambria Math" w:hAnsi="Cambria Math"/>
        </w:rPr>
        <w:t xml:space="preserve"> </w:t>
      </w:r>
      <w:r w:rsidR="007675C3">
        <w:rPr>
          <w:rFonts w:ascii="Cambria Math" w:hAnsi="Cambria Math"/>
        </w:rPr>
        <w:t xml:space="preserve">the </w:t>
      </w:r>
      <w:r w:rsidR="00D41274">
        <w:rPr>
          <w:rFonts w:ascii="Cambria Math" w:hAnsi="Cambria Math"/>
        </w:rPr>
        <w:t>practices of</w:t>
      </w:r>
      <w:r w:rsidR="007675C3">
        <w:rPr>
          <w:rFonts w:ascii="Cambria Math" w:hAnsi="Cambria Math"/>
        </w:rPr>
        <w:t xml:space="preserve"> </w:t>
      </w:r>
      <w:r w:rsidR="0082691C">
        <w:rPr>
          <w:rFonts w:ascii="Cambria Math" w:hAnsi="Cambria Math"/>
        </w:rPr>
        <w:lastRenderedPageBreak/>
        <w:t>S</w:t>
      </w:r>
      <w:r w:rsidR="007675C3">
        <w:rPr>
          <w:rFonts w:ascii="Cambria Math" w:hAnsi="Cambria Math"/>
        </w:rPr>
        <w:t>ustainability accounting and management within businesses and organisations</w:t>
      </w:r>
      <w:r w:rsidR="00EF32A6">
        <w:rPr>
          <w:rFonts w:ascii="Cambria Math" w:hAnsi="Cambria Math"/>
        </w:rPr>
        <w:t xml:space="preserve"> operating in EDEs</w:t>
      </w:r>
      <w:r w:rsidR="00D41274">
        <w:rPr>
          <w:rFonts w:ascii="Cambria Math" w:hAnsi="Cambria Math"/>
        </w:rPr>
        <w:t xml:space="preserve">, </w:t>
      </w:r>
      <w:r w:rsidR="00A8242D">
        <w:rPr>
          <w:rFonts w:ascii="Cambria Math" w:hAnsi="Cambria Math"/>
        </w:rPr>
        <w:t xml:space="preserve">specifically from a strategy and decision-making perspective </w:t>
      </w:r>
      <w:r w:rsidR="00D41274">
        <w:rPr>
          <w:rFonts w:ascii="Cambria Math" w:hAnsi="Cambria Math"/>
        </w:rPr>
        <w:t>(Gond et al., 2016)</w:t>
      </w:r>
      <w:r w:rsidR="00A8242D">
        <w:rPr>
          <w:rFonts w:ascii="Cambria Math" w:hAnsi="Cambria Math"/>
        </w:rPr>
        <w:t xml:space="preserve">. </w:t>
      </w:r>
      <w:r w:rsidR="005E69B4">
        <w:rPr>
          <w:rFonts w:ascii="Cambria Math" w:hAnsi="Cambria Math"/>
        </w:rPr>
        <w:t xml:space="preserve">For instance, insights about the </w:t>
      </w:r>
      <w:r w:rsidR="00EF32A6">
        <w:rPr>
          <w:rFonts w:ascii="Cambria Math" w:hAnsi="Cambria Math"/>
        </w:rPr>
        <w:t xml:space="preserve">alignment </w:t>
      </w:r>
      <w:r w:rsidR="005E69B4">
        <w:rPr>
          <w:rFonts w:ascii="Cambria Math" w:hAnsi="Cambria Math"/>
        </w:rPr>
        <w:t>of Sustainability and legitimation within and across EDEs remain scarce in extant literature (</w:t>
      </w:r>
      <w:r w:rsidR="008F24A9">
        <w:rPr>
          <w:rFonts w:ascii="Cambria Math" w:hAnsi="Cambria Math"/>
        </w:rPr>
        <w:t>Frynas and Stephens, 2014</w:t>
      </w:r>
      <w:r w:rsidR="005E69B4" w:rsidRPr="00F439F0">
        <w:rPr>
          <w:rFonts w:ascii="Cambria Math" w:hAnsi="Cambria Math"/>
        </w:rPr>
        <w:t>)</w:t>
      </w:r>
      <w:r w:rsidR="00657E20">
        <w:rPr>
          <w:rFonts w:ascii="Cambria Math" w:hAnsi="Cambria Math"/>
        </w:rPr>
        <w:t>.</w:t>
      </w:r>
    </w:p>
    <w:p w:rsidR="00B543C6" w:rsidRDefault="00B543C6" w:rsidP="00F05221">
      <w:pPr>
        <w:jc w:val="both"/>
        <w:rPr>
          <w:rFonts w:ascii="Cambria Math" w:hAnsi="Cambria Math"/>
        </w:rPr>
      </w:pPr>
    </w:p>
    <w:p w:rsidR="00F05221" w:rsidRDefault="00657E20" w:rsidP="00F05221">
      <w:p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Second, </w:t>
      </w:r>
      <w:r w:rsidR="00764C29">
        <w:rPr>
          <w:rFonts w:ascii="Cambria Math" w:hAnsi="Cambria Math"/>
        </w:rPr>
        <w:t xml:space="preserve">it has to be acknowledged that </w:t>
      </w:r>
      <w:r w:rsidR="006F63DC">
        <w:rPr>
          <w:rFonts w:ascii="Cambria Math" w:hAnsi="Cambria Math"/>
        </w:rPr>
        <w:t xml:space="preserve">EDEs </w:t>
      </w:r>
      <w:r w:rsidR="00764C29">
        <w:rPr>
          <w:rFonts w:ascii="Cambria Math" w:hAnsi="Cambria Math"/>
        </w:rPr>
        <w:t>cannot</w:t>
      </w:r>
      <w:r w:rsidR="006F63DC">
        <w:rPr>
          <w:rFonts w:ascii="Cambria Math" w:hAnsi="Cambria Math"/>
        </w:rPr>
        <w:t xml:space="preserve"> be treated as a homogeneous group of countries with similar characteristics.</w:t>
      </w:r>
      <w:r w:rsidR="00281E42">
        <w:rPr>
          <w:rFonts w:ascii="Cambria Math" w:hAnsi="Cambria Math"/>
        </w:rPr>
        <w:t xml:space="preserve"> </w:t>
      </w:r>
      <w:r w:rsidR="00CC5331">
        <w:rPr>
          <w:rFonts w:ascii="Cambria Math" w:hAnsi="Cambria Math"/>
        </w:rPr>
        <w:t>Indeed, s</w:t>
      </w:r>
      <w:r w:rsidR="00764C29">
        <w:rPr>
          <w:rFonts w:ascii="Cambria Math" w:hAnsi="Cambria Math"/>
        </w:rPr>
        <w:t xml:space="preserve">ome EDEs have emerged as substantial contributors to the global </w:t>
      </w:r>
      <w:r w:rsidR="0082691C">
        <w:rPr>
          <w:rFonts w:ascii="Cambria Math" w:hAnsi="Cambria Math"/>
        </w:rPr>
        <w:t>S</w:t>
      </w:r>
      <w:r w:rsidR="00764C29">
        <w:rPr>
          <w:rFonts w:ascii="Cambria Math" w:hAnsi="Cambria Math"/>
        </w:rPr>
        <w:t xml:space="preserve">ustainability ‘deficit’ whilst others have been bearing the brunt of social and environmental </w:t>
      </w:r>
      <w:r w:rsidR="0050080E">
        <w:rPr>
          <w:rFonts w:ascii="Cambria Math" w:hAnsi="Cambria Math"/>
        </w:rPr>
        <w:t>change</w:t>
      </w:r>
      <w:r w:rsidR="00C37BDC">
        <w:rPr>
          <w:rFonts w:ascii="Cambria Math" w:hAnsi="Cambria Math"/>
        </w:rPr>
        <w:t>.</w:t>
      </w:r>
      <w:r w:rsidR="00D4199B">
        <w:rPr>
          <w:rFonts w:ascii="Cambria Math" w:hAnsi="Cambria Math"/>
        </w:rPr>
        <w:t xml:space="preserve"> For instance</w:t>
      </w:r>
      <w:r w:rsidR="00E20AD3">
        <w:rPr>
          <w:rFonts w:ascii="Cambria Math" w:hAnsi="Cambria Math"/>
        </w:rPr>
        <w:t>, while Indonesian firms are found to provide very little disclosures over human disclosures (Cahaya et al, 2015),</w:t>
      </w:r>
      <w:r w:rsidR="00D4199B">
        <w:rPr>
          <w:rFonts w:ascii="Cambria Math" w:hAnsi="Cambria Math"/>
        </w:rPr>
        <w:t xml:space="preserve"> </w:t>
      </w:r>
      <w:r w:rsidR="00D4199B" w:rsidRPr="00D4199B">
        <w:rPr>
          <w:rFonts w:ascii="Cambria Math" w:hAnsi="Cambria Math"/>
        </w:rPr>
        <w:t xml:space="preserve">South Africa has been in the forefront of </w:t>
      </w:r>
      <w:r w:rsidR="003D1D50">
        <w:rPr>
          <w:rFonts w:ascii="Cambria Math" w:hAnsi="Cambria Math"/>
        </w:rPr>
        <w:t xml:space="preserve">corporate governance </w:t>
      </w:r>
      <w:r w:rsidR="005D319B">
        <w:rPr>
          <w:rFonts w:ascii="Cambria Math" w:hAnsi="Cambria Math"/>
        </w:rPr>
        <w:t>and</w:t>
      </w:r>
      <w:r w:rsidR="003D1D50">
        <w:rPr>
          <w:rFonts w:ascii="Cambria Math" w:hAnsi="Cambria Math"/>
        </w:rPr>
        <w:t xml:space="preserve"> </w:t>
      </w:r>
      <w:r w:rsidR="00821A06">
        <w:rPr>
          <w:rFonts w:ascii="Cambria Math" w:hAnsi="Cambria Math"/>
        </w:rPr>
        <w:t>integrated</w:t>
      </w:r>
      <w:r w:rsidR="00D4199B" w:rsidRPr="00D4199B">
        <w:rPr>
          <w:rFonts w:ascii="Cambria Math" w:hAnsi="Cambria Math"/>
        </w:rPr>
        <w:t xml:space="preserve"> reporting </w:t>
      </w:r>
      <w:r w:rsidR="00821A06">
        <w:rPr>
          <w:rFonts w:ascii="Cambria Math" w:hAnsi="Cambria Math"/>
        </w:rPr>
        <w:t xml:space="preserve">(Baboukardos &amp; Rimmel, 2016) </w:t>
      </w:r>
      <w:r w:rsidR="00E20AD3">
        <w:rPr>
          <w:rFonts w:ascii="Cambria Math" w:hAnsi="Cambria Math"/>
        </w:rPr>
        <w:t>and Taiwan</w:t>
      </w:r>
      <w:r w:rsidR="006864B6">
        <w:rPr>
          <w:rFonts w:ascii="Cambria Math" w:hAnsi="Cambria Math"/>
        </w:rPr>
        <w:t>ese firms</w:t>
      </w:r>
      <w:r w:rsidR="00E20AD3">
        <w:rPr>
          <w:rFonts w:ascii="Cambria Math" w:hAnsi="Cambria Math"/>
        </w:rPr>
        <w:t xml:space="preserve"> </w:t>
      </w:r>
      <w:r w:rsidR="005D319B">
        <w:rPr>
          <w:rFonts w:ascii="Cambria Math" w:hAnsi="Cambria Math"/>
        </w:rPr>
        <w:t xml:space="preserve">have been </w:t>
      </w:r>
      <w:r w:rsidR="006864B6">
        <w:rPr>
          <w:rFonts w:ascii="Cambria Math" w:hAnsi="Cambria Math"/>
        </w:rPr>
        <w:t xml:space="preserve">found to provide </w:t>
      </w:r>
      <w:r w:rsidR="001B566D">
        <w:rPr>
          <w:rFonts w:ascii="Cambria Math" w:hAnsi="Cambria Math"/>
        </w:rPr>
        <w:t xml:space="preserve">high volume of sustainability disclosures </w:t>
      </w:r>
      <w:r w:rsidR="00E835F5">
        <w:rPr>
          <w:rFonts w:ascii="Cambria Math" w:hAnsi="Cambria Math"/>
        </w:rPr>
        <w:t>(Hsiao &amp; Kelly, 2017)</w:t>
      </w:r>
      <w:r w:rsidR="001B566D">
        <w:rPr>
          <w:rFonts w:ascii="Cambria Math" w:hAnsi="Cambria Math"/>
        </w:rPr>
        <w:t xml:space="preserve">. </w:t>
      </w:r>
      <w:r w:rsidR="006E7268">
        <w:rPr>
          <w:rFonts w:ascii="Cambria Math" w:hAnsi="Cambria Math"/>
        </w:rPr>
        <w:t>The</w:t>
      </w:r>
      <w:r w:rsidR="0050080E">
        <w:rPr>
          <w:rFonts w:ascii="Cambria Math" w:hAnsi="Cambria Math"/>
        </w:rPr>
        <w:t>refore, the</w:t>
      </w:r>
      <w:r w:rsidR="006E7268">
        <w:rPr>
          <w:rFonts w:ascii="Cambria Math" w:hAnsi="Cambria Math"/>
        </w:rPr>
        <w:t xml:space="preserve"> scope and purpose of </w:t>
      </w:r>
      <w:r w:rsidR="006E7268" w:rsidRPr="0082691C">
        <w:rPr>
          <w:rFonts w:ascii="Cambria Math" w:hAnsi="Cambria Math"/>
        </w:rPr>
        <w:t>Sustainability</w:t>
      </w:r>
      <w:r w:rsidR="006E7268">
        <w:rPr>
          <w:rFonts w:ascii="Cambria Math" w:hAnsi="Cambria Math"/>
        </w:rPr>
        <w:t xml:space="preserve"> appears to be </w:t>
      </w:r>
      <w:r w:rsidR="004A5847">
        <w:rPr>
          <w:rFonts w:ascii="Cambria Math" w:hAnsi="Cambria Math"/>
        </w:rPr>
        <w:t xml:space="preserve">highly </w:t>
      </w:r>
      <w:r w:rsidR="006E7268">
        <w:rPr>
          <w:rFonts w:ascii="Cambria Math" w:hAnsi="Cambria Math"/>
        </w:rPr>
        <w:t xml:space="preserve">contextual </w:t>
      </w:r>
      <w:r w:rsidR="004A5847">
        <w:rPr>
          <w:rFonts w:ascii="Cambria Math" w:hAnsi="Cambria Math"/>
        </w:rPr>
        <w:t xml:space="preserve">and varying significantly among countries and regions. This is also acknowledged by the </w:t>
      </w:r>
      <w:r w:rsidR="004A5847" w:rsidRPr="00DC006C">
        <w:rPr>
          <w:rFonts w:ascii="Cambria Math" w:hAnsi="Cambria Math"/>
          <w:i/>
        </w:rPr>
        <w:t>UN 2030 Agenda for Sustainable Development</w:t>
      </w:r>
      <w:r w:rsidR="004A5847">
        <w:rPr>
          <w:rFonts w:ascii="Cambria Math" w:hAnsi="Cambria Math"/>
        </w:rPr>
        <w:t xml:space="preserve"> (UN General Assembly, 2015) which recognises that each country faces specific challenges in its efforts for sustainable development.</w:t>
      </w:r>
      <w:r w:rsidR="00F05221" w:rsidRPr="00F05221">
        <w:rPr>
          <w:rFonts w:ascii="Cambria Math" w:hAnsi="Cambria Math"/>
        </w:rPr>
        <w:t xml:space="preserve"> </w:t>
      </w:r>
      <w:r w:rsidR="00F66672">
        <w:rPr>
          <w:rFonts w:ascii="Cambria Math" w:hAnsi="Cambria Math"/>
        </w:rPr>
        <w:t>It is therefore important to examine how businesses are addressing the d</w:t>
      </w:r>
      <w:r w:rsidR="00F66672" w:rsidRPr="00F66672">
        <w:rPr>
          <w:rFonts w:ascii="Cambria Math" w:hAnsi="Cambria Math"/>
        </w:rPr>
        <w:t xml:space="preserve">evelopment deficits experienced by communities in </w:t>
      </w:r>
      <w:r w:rsidR="00F66672">
        <w:rPr>
          <w:rFonts w:ascii="Cambria Math" w:hAnsi="Cambria Math"/>
        </w:rPr>
        <w:t>EDEs</w:t>
      </w:r>
      <w:r w:rsidR="00F66672" w:rsidRPr="00F66672">
        <w:rPr>
          <w:rFonts w:ascii="Cambria Math" w:hAnsi="Cambria Math"/>
        </w:rPr>
        <w:t xml:space="preserve"> </w:t>
      </w:r>
      <w:r w:rsidR="00F66672">
        <w:rPr>
          <w:rFonts w:ascii="Cambria Math" w:hAnsi="Cambria Math"/>
        </w:rPr>
        <w:t>and contributing towards Sustainable Development</w:t>
      </w:r>
      <w:r w:rsidR="00F66672" w:rsidRPr="00F66672">
        <w:rPr>
          <w:rFonts w:ascii="Cambria Math" w:hAnsi="Cambria Math"/>
        </w:rPr>
        <w:t>.</w:t>
      </w:r>
      <w:r w:rsidR="00F66672">
        <w:rPr>
          <w:rFonts w:ascii="Cambria Math" w:hAnsi="Cambria Math"/>
        </w:rPr>
        <w:t xml:space="preserve"> </w:t>
      </w:r>
      <w:r w:rsidR="005E69B4">
        <w:rPr>
          <w:rFonts w:ascii="Cambria Math" w:hAnsi="Cambria Math"/>
        </w:rPr>
        <w:t xml:space="preserve">In this regard, </w:t>
      </w:r>
      <w:r w:rsidR="00F66672">
        <w:rPr>
          <w:rFonts w:ascii="Cambria Math" w:hAnsi="Cambria Math"/>
        </w:rPr>
        <w:t xml:space="preserve">insights into the integrative perspectives of Sustainability and Sustainable Development agendas in EDEs </w:t>
      </w:r>
      <w:r w:rsidR="00F66672" w:rsidRPr="00F66672">
        <w:rPr>
          <w:rFonts w:ascii="Cambria Math" w:hAnsi="Cambria Math"/>
        </w:rPr>
        <w:t xml:space="preserve">remain scarce (see </w:t>
      </w:r>
      <w:r w:rsidR="008F24A9">
        <w:rPr>
          <w:rFonts w:ascii="Cambria Math" w:hAnsi="Cambria Math"/>
        </w:rPr>
        <w:t>for instance</w:t>
      </w:r>
      <w:r w:rsidR="00383FF6">
        <w:rPr>
          <w:rFonts w:ascii="Cambria Math" w:hAnsi="Cambria Math"/>
        </w:rPr>
        <w:t xml:space="preserve"> Frynas, 2008).</w:t>
      </w:r>
      <w:r w:rsidR="00F66672">
        <w:rPr>
          <w:rFonts w:ascii="Cambria Math" w:hAnsi="Cambria Math"/>
        </w:rPr>
        <w:t xml:space="preserve"> </w:t>
      </w:r>
      <w:r w:rsidR="00F05221">
        <w:rPr>
          <w:rFonts w:ascii="Cambria Math" w:hAnsi="Cambria Math"/>
        </w:rPr>
        <w:t xml:space="preserve">Hence, there is a need for a deeper understanding </w:t>
      </w:r>
      <w:r w:rsidR="00383FF6">
        <w:rPr>
          <w:rFonts w:ascii="Cambria Math" w:hAnsi="Cambria Math"/>
        </w:rPr>
        <w:t>about</w:t>
      </w:r>
      <w:r w:rsidR="00F05221">
        <w:rPr>
          <w:rFonts w:ascii="Cambria Math" w:hAnsi="Cambria Math"/>
        </w:rPr>
        <w:t xml:space="preserve"> how</w:t>
      </w:r>
      <w:r w:rsidR="00941305">
        <w:rPr>
          <w:rFonts w:ascii="Cambria Math" w:hAnsi="Cambria Math"/>
        </w:rPr>
        <w:t xml:space="preserve"> the driving forces, practices and consequences of </w:t>
      </w:r>
      <w:r w:rsidR="00941305" w:rsidRPr="003D3A3A">
        <w:rPr>
          <w:rFonts w:ascii="Cambria Math" w:hAnsi="Cambria Math"/>
        </w:rPr>
        <w:t>Sustainability</w:t>
      </w:r>
      <w:r w:rsidR="00941305">
        <w:rPr>
          <w:rFonts w:ascii="Cambria Math" w:hAnsi="Cambria Math"/>
        </w:rPr>
        <w:t xml:space="preserve"> accounting and management</w:t>
      </w:r>
      <w:r w:rsidR="00F05221">
        <w:rPr>
          <w:rFonts w:ascii="Cambria Math" w:hAnsi="Cambria Math"/>
        </w:rPr>
        <w:t xml:space="preserve"> differ between EDEs and advanced economies as well as among</w:t>
      </w:r>
      <w:r w:rsidR="00CC5331">
        <w:rPr>
          <w:rFonts w:ascii="Cambria Math" w:hAnsi="Cambria Math"/>
        </w:rPr>
        <w:t>st</w:t>
      </w:r>
      <w:r w:rsidR="00F05221">
        <w:rPr>
          <w:rFonts w:ascii="Cambria Math" w:hAnsi="Cambria Math"/>
        </w:rPr>
        <w:t xml:space="preserve"> EDEs</w:t>
      </w:r>
      <w:r w:rsidR="00C37BDC">
        <w:rPr>
          <w:rFonts w:ascii="Cambria Math" w:hAnsi="Cambria Math"/>
        </w:rPr>
        <w:t xml:space="preserve">. </w:t>
      </w:r>
      <w:r w:rsidR="00F05221">
        <w:rPr>
          <w:rFonts w:ascii="Cambria Math" w:hAnsi="Cambria Math"/>
        </w:rPr>
        <w:t xml:space="preserve">This Special Issue particularly welcomes </w:t>
      </w:r>
      <w:r w:rsidR="009247EF">
        <w:rPr>
          <w:rFonts w:ascii="Cambria Math" w:hAnsi="Cambria Math"/>
        </w:rPr>
        <w:t xml:space="preserve">country-level as well as </w:t>
      </w:r>
      <w:r w:rsidR="00F05221">
        <w:rPr>
          <w:rFonts w:ascii="Cambria Math" w:hAnsi="Cambria Math"/>
        </w:rPr>
        <w:t>multi-country comparative studies which showcase such differences</w:t>
      </w:r>
      <w:r w:rsidR="00C37BDC">
        <w:rPr>
          <w:rFonts w:ascii="Cambria Math" w:hAnsi="Cambria Math"/>
        </w:rPr>
        <w:t xml:space="preserve"> and consider countries’ social, political, and cultural factors that affect how </w:t>
      </w:r>
      <w:r w:rsidR="0082691C">
        <w:rPr>
          <w:rFonts w:ascii="Cambria Math" w:hAnsi="Cambria Math"/>
        </w:rPr>
        <w:t>businesses</w:t>
      </w:r>
      <w:r w:rsidR="00C37BDC">
        <w:rPr>
          <w:rFonts w:ascii="Cambria Math" w:hAnsi="Cambria Math"/>
        </w:rPr>
        <w:t xml:space="preserve"> engage with the practice and </w:t>
      </w:r>
      <w:r w:rsidR="0082691C">
        <w:rPr>
          <w:rFonts w:ascii="Cambria Math" w:hAnsi="Cambria Math"/>
        </w:rPr>
        <w:t>discourse of S</w:t>
      </w:r>
      <w:r w:rsidR="00C37BDC">
        <w:rPr>
          <w:rFonts w:ascii="Cambria Math" w:hAnsi="Cambria Math"/>
        </w:rPr>
        <w:t>ustainability</w:t>
      </w:r>
      <w:r w:rsidR="00FB33AB">
        <w:rPr>
          <w:rFonts w:ascii="Cambria Math" w:hAnsi="Cambria Math"/>
        </w:rPr>
        <w:t xml:space="preserve">. </w:t>
      </w:r>
    </w:p>
    <w:p w:rsidR="004A5847" w:rsidRDefault="004A5847" w:rsidP="00281E42">
      <w:pPr>
        <w:jc w:val="both"/>
        <w:rPr>
          <w:rFonts w:ascii="Cambria Math" w:hAnsi="Cambria Math"/>
        </w:rPr>
      </w:pPr>
    </w:p>
    <w:p w:rsidR="00CD62C2" w:rsidRDefault="00CD62C2" w:rsidP="00281E42">
      <w:pPr>
        <w:jc w:val="both"/>
        <w:rPr>
          <w:rFonts w:ascii="Cambria Math" w:hAnsi="Cambria Math"/>
        </w:rPr>
      </w:pPr>
    </w:p>
    <w:p w:rsidR="005F1530" w:rsidRPr="005F1530" w:rsidRDefault="005F1530" w:rsidP="005F1530">
      <w:pPr>
        <w:jc w:val="both"/>
        <w:rPr>
          <w:rFonts w:ascii="Cambria Math" w:hAnsi="Cambria Math"/>
          <w:b/>
        </w:rPr>
      </w:pPr>
      <w:bookmarkStart w:id="0" w:name="_GoBack"/>
      <w:r w:rsidRPr="005F1530">
        <w:rPr>
          <w:rFonts w:ascii="Cambria Math" w:hAnsi="Cambria Math"/>
          <w:b/>
        </w:rPr>
        <w:t>Scope of the Special Issue</w:t>
      </w:r>
    </w:p>
    <w:p w:rsidR="005F1530" w:rsidRPr="0085504B" w:rsidRDefault="005F1530" w:rsidP="00F51D4B">
      <w:pPr>
        <w:jc w:val="both"/>
        <w:rPr>
          <w:rFonts w:ascii="Cambria Math" w:hAnsi="Cambria Math"/>
        </w:rPr>
      </w:pPr>
    </w:p>
    <w:p w:rsidR="00F51D4B" w:rsidRPr="0085504B" w:rsidRDefault="00F51D4B" w:rsidP="00F51D4B">
      <w:p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 xml:space="preserve">The </w:t>
      </w:r>
      <w:r w:rsidR="00581CC7">
        <w:rPr>
          <w:rFonts w:ascii="Cambria Math" w:hAnsi="Cambria Math"/>
        </w:rPr>
        <w:t>Special Issue</w:t>
      </w:r>
      <w:r w:rsidRPr="0085504B">
        <w:rPr>
          <w:rFonts w:ascii="Cambria Math" w:hAnsi="Cambria Math"/>
        </w:rPr>
        <w:t xml:space="preserve"> welcomes research papers using diverse methodological and theoretical approaches </w:t>
      </w:r>
      <w:r w:rsidR="00FD1DE4">
        <w:rPr>
          <w:rFonts w:ascii="Cambria Math" w:hAnsi="Cambria Math"/>
        </w:rPr>
        <w:t>that</w:t>
      </w:r>
      <w:r w:rsidRPr="0085504B">
        <w:rPr>
          <w:rFonts w:ascii="Cambria Math" w:hAnsi="Cambria Math"/>
        </w:rPr>
        <w:t xml:space="preserve"> highlight their policy and practical implications</w:t>
      </w:r>
      <w:r w:rsidR="00E3791F">
        <w:rPr>
          <w:rFonts w:ascii="Cambria Math" w:hAnsi="Cambria Math"/>
        </w:rPr>
        <w:t xml:space="preserve"> and fo</w:t>
      </w:r>
      <w:r w:rsidR="00FD1DE4">
        <w:rPr>
          <w:rFonts w:ascii="Cambria Math" w:hAnsi="Cambria Math"/>
        </w:rPr>
        <w:t>cus</w:t>
      </w:r>
      <w:r w:rsidR="00E3791F">
        <w:rPr>
          <w:rFonts w:ascii="Cambria Math" w:hAnsi="Cambria Math"/>
        </w:rPr>
        <w:t xml:space="preserve"> on the context of Emerging</w:t>
      </w:r>
      <w:r w:rsidR="008D7883">
        <w:rPr>
          <w:rFonts w:ascii="Cambria Math" w:hAnsi="Cambria Math"/>
        </w:rPr>
        <w:t xml:space="preserve"> &amp; Developing</w:t>
      </w:r>
      <w:r w:rsidR="00E3791F">
        <w:rPr>
          <w:rFonts w:ascii="Cambria Math" w:hAnsi="Cambria Math"/>
        </w:rPr>
        <w:t xml:space="preserve"> Economies</w:t>
      </w:r>
      <w:r w:rsidR="00CB5A55">
        <w:rPr>
          <w:rFonts w:ascii="Cambria Math" w:hAnsi="Cambria Math"/>
        </w:rPr>
        <w:t xml:space="preserve">, </w:t>
      </w:r>
      <w:r w:rsidR="007C2B63">
        <w:rPr>
          <w:rFonts w:ascii="Cambria Math" w:hAnsi="Cambria Math"/>
        </w:rPr>
        <w:t xml:space="preserve">examining </w:t>
      </w:r>
      <w:r w:rsidR="00AF09C4" w:rsidRPr="00AF09C4">
        <w:rPr>
          <w:rFonts w:ascii="Cambria Math" w:hAnsi="Cambria Math"/>
        </w:rPr>
        <w:t>Sustainability accounting, management and their related public policies</w:t>
      </w:r>
      <w:r w:rsidRPr="0085504B">
        <w:rPr>
          <w:rFonts w:ascii="Cambria Math" w:hAnsi="Cambria Math"/>
        </w:rPr>
        <w:t xml:space="preserve">. </w:t>
      </w:r>
      <w:r w:rsidR="00CA2C65" w:rsidRPr="0085504B">
        <w:rPr>
          <w:rFonts w:ascii="Cambria Math" w:hAnsi="Cambria Math"/>
        </w:rPr>
        <w:t xml:space="preserve">A non-exhaustive list of </w:t>
      </w:r>
      <w:r w:rsidR="00091E5A" w:rsidRPr="0085504B">
        <w:rPr>
          <w:rFonts w:ascii="Cambria Math" w:hAnsi="Cambria Math"/>
        </w:rPr>
        <w:t>r</w:t>
      </w:r>
      <w:r w:rsidRPr="0085504B">
        <w:rPr>
          <w:rFonts w:ascii="Cambria Math" w:hAnsi="Cambria Math"/>
        </w:rPr>
        <w:t>esearch t</w:t>
      </w:r>
      <w:r w:rsidR="00091E5A" w:rsidRPr="0085504B">
        <w:rPr>
          <w:rFonts w:ascii="Cambria Math" w:hAnsi="Cambria Math"/>
        </w:rPr>
        <w:t>opics</w:t>
      </w:r>
      <w:r w:rsidR="00581CC7">
        <w:rPr>
          <w:rFonts w:ascii="Cambria Math" w:hAnsi="Cambria Math"/>
        </w:rPr>
        <w:t xml:space="preserve"> relevant to the scope of the Special Issue</w:t>
      </w:r>
      <w:r w:rsidR="00E3791F">
        <w:rPr>
          <w:rFonts w:ascii="Cambria Math" w:hAnsi="Cambria Math"/>
        </w:rPr>
        <w:t xml:space="preserve"> </w:t>
      </w:r>
      <w:r w:rsidR="00E47A50">
        <w:rPr>
          <w:rFonts w:ascii="Cambria Math" w:hAnsi="Cambria Math"/>
        </w:rPr>
        <w:t>follows</w:t>
      </w:r>
      <w:r w:rsidRPr="0085504B">
        <w:rPr>
          <w:rFonts w:ascii="Cambria Math" w:hAnsi="Cambria Math"/>
        </w:rPr>
        <w:t>:</w:t>
      </w:r>
    </w:p>
    <w:p w:rsidR="00091E5A" w:rsidRPr="0085504B" w:rsidRDefault="00091E5A" w:rsidP="00091E5A">
      <w:pPr>
        <w:pStyle w:val="Listenabsatz"/>
        <w:jc w:val="both"/>
        <w:rPr>
          <w:rFonts w:ascii="Cambria Math" w:hAnsi="Cambria Math"/>
        </w:rPr>
      </w:pPr>
    </w:p>
    <w:p w:rsidR="007C2B63" w:rsidRDefault="007C2B63" w:rsidP="0085504B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>Macro-level influences on Sustainability accounting and management</w:t>
      </w:r>
    </w:p>
    <w:p w:rsidR="007C2B63" w:rsidRDefault="007C2B63" w:rsidP="0085504B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Governance of Sustainability in EDEs </w:t>
      </w:r>
    </w:p>
    <w:p w:rsidR="00091E5A" w:rsidRPr="0085504B" w:rsidRDefault="00091E5A" w:rsidP="0085504B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>Sustainability accounting and reporting</w:t>
      </w:r>
    </w:p>
    <w:p w:rsidR="00E3791F" w:rsidRPr="0085504B" w:rsidRDefault="00E3791F" w:rsidP="00E3791F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>Carbon accounting</w:t>
      </w:r>
      <w:r>
        <w:rPr>
          <w:rFonts w:ascii="Cambria Math" w:hAnsi="Cambria Math"/>
        </w:rPr>
        <w:t>,</w:t>
      </w:r>
      <w:r w:rsidRPr="0085504B">
        <w:rPr>
          <w:rFonts w:ascii="Cambria Math" w:hAnsi="Cambria Math"/>
        </w:rPr>
        <w:t xml:space="preserve"> reporting</w:t>
      </w:r>
      <w:r>
        <w:rPr>
          <w:rFonts w:ascii="Cambria Math" w:hAnsi="Cambria Math"/>
        </w:rPr>
        <w:t xml:space="preserve"> and trading</w:t>
      </w:r>
    </w:p>
    <w:p w:rsidR="00E3791F" w:rsidRPr="0085504B" w:rsidRDefault="00E3791F" w:rsidP="00E3791F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>Integrated reporting and Integrated thinking</w:t>
      </w:r>
    </w:p>
    <w:p w:rsidR="00E3791F" w:rsidRPr="0085504B" w:rsidRDefault="00E3791F" w:rsidP="00E3791F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>Social and environmental audit</w:t>
      </w:r>
    </w:p>
    <w:p w:rsidR="00FD1DE4" w:rsidRPr="0085504B" w:rsidRDefault="00CC5331" w:rsidP="00FD1DE4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>Sustainability and c</w:t>
      </w:r>
      <w:r w:rsidR="00FD1DE4" w:rsidRPr="0085504B">
        <w:rPr>
          <w:rFonts w:ascii="Cambria Math" w:hAnsi="Cambria Math"/>
        </w:rPr>
        <w:t xml:space="preserve">orporate </w:t>
      </w:r>
      <w:r w:rsidR="00FD1DE4">
        <w:rPr>
          <w:rFonts w:ascii="Cambria Math" w:hAnsi="Cambria Math"/>
        </w:rPr>
        <w:t>g</w:t>
      </w:r>
      <w:r w:rsidR="00FD1DE4" w:rsidRPr="0085504B">
        <w:rPr>
          <w:rFonts w:ascii="Cambria Math" w:hAnsi="Cambria Math"/>
        </w:rPr>
        <w:t>overnance</w:t>
      </w:r>
    </w:p>
    <w:p w:rsidR="00E3791F" w:rsidRDefault="00E3791F" w:rsidP="00E3791F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>Sustainability policy</w:t>
      </w:r>
      <w:r w:rsidR="00CB5A55">
        <w:rPr>
          <w:rFonts w:ascii="Cambria Math" w:hAnsi="Cambria Math"/>
        </w:rPr>
        <w:t xml:space="preserve"> and monitoring</w:t>
      </w:r>
    </w:p>
    <w:p w:rsidR="00E3791F" w:rsidRPr="0085504B" w:rsidRDefault="00CC5331" w:rsidP="00E3791F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Management accounting, control and sustainability </w:t>
      </w:r>
    </w:p>
    <w:p w:rsidR="00E3791F" w:rsidRDefault="001B3222" w:rsidP="00E3791F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The role of </w:t>
      </w:r>
      <w:r w:rsidR="00E3791F" w:rsidRPr="0085504B">
        <w:rPr>
          <w:rFonts w:ascii="Cambria Math" w:hAnsi="Cambria Math"/>
        </w:rPr>
        <w:t>ethics</w:t>
      </w:r>
      <w:r>
        <w:rPr>
          <w:rFonts w:ascii="Cambria Math" w:hAnsi="Cambria Math"/>
        </w:rPr>
        <w:t>, human rights, gender or religion in sustainability accounting and reporting</w:t>
      </w:r>
    </w:p>
    <w:p w:rsidR="00CB5A55" w:rsidRDefault="00CB5A55" w:rsidP="00E3791F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>The accounting, control</w:t>
      </w:r>
      <w:r w:rsidR="001B3222">
        <w:rPr>
          <w:rFonts w:ascii="Cambria Math" w:hAnsi="Cambria Math"/>
        </w:rPr>
        <w:t>, and reporting of Sustainable</w:t>
      </w:r>
      <w:r>
        <w:rPr>
          <w:rFonts w:ascii="Cambria Math" w:hAnsi="Cambria Math"/>
        </w:rPr>
        <w:t xml:space="preserve"> Development Goals (SDGs)</w:t>
      </w:r>
    </w:p>
    <w:p w:rsidR="007C2B63" w:rsidRDefault="007C2B63" w:rsidP="007C2B63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>Stakeholder engagement and accountability</w:t>
      </w:r>
    </w:p>
    <w:p w:rsidR="007C2B63" w:rsidRDefault="007C2B63" w:rsidP="007C2B63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Economic consequences of sustainability accounting, reporting and management </w:t>
      </w:r>
    </w:p>
    <w:p w:rsidR="007C2B63" w:rsidRDefault="007C2B63" w:rsidP="00E3791F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Alignment of Sustainability and Sustainable Development in EDEs </w:t>
      </w:r>
    </w:p>
    <w:p w:rsidR="007C2B63" w:rsidRDefault="007C2B63" w:rsidP="00E3791F">
      <w:pPr>
        <w:pStyle w:val="Listenabsatz"/>
        <w:numPr>
          <w:ilvl w:val="0"/>
          <w:numId w:val="3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Legitimation and Sustainability </w:t>
      </w:r>
    </w:p>
    <w:p w:rsidR="00F51D4B" w:rsidRPr="0085504B" w:rsidRDefault="00F51D4B" w:rsidP="00F51D4B">
      <w:pPr>
        <w:jc w:val="both"/>
        <w:rPr>
          <w:rFonts w:ascii="Cambria Math" w:hAnsi="Cambria Math"/>
        </w:rPr>
      </w:pPr>
    </w:p>
    <w:p w:rsidR="00091E5A" w:rsidRPr="0085504B" w:rsidRDefault="00091E5A" w:rsidP="00F51D4B">
      <w:p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 xml:space="preserve">The </w:t>
      </w:r>
      <w:r w:rsidR="00AF1EBA">
        <w:rPr>
          <w:rFonts w:ascii="Cambria Math" w:hAnsi="Cambria Math"/>
        </w:rPr>
        <w:t>S</w:t>
      </w:r>
      <w:r w:rsidRPr="0085504B">
        <w:rPr>
          <w:rFonts w:ascii="Cambria Math" w:hAnsi="Cambria Math"/>
        </w:rPr>
        <w:t xml:space="preserve">pecial </w:t>
      </w:r>
      <w:r w:rsidR="00AF1EBA">
        <w:rPr>
          <w:rFonts w:ascii="Cambria Math" w:hAnsi="Cambria Math"/>
        </w:rPr>
        <w:t>I</w:t>
      </w:r>
      <w:r w:rsidRPr="0085504B">
        <w:rPr>
          <w:rFonts w:ascii="Cambria Math" w:hAnsi="Cambria Math"/>
        </w:rPr>
        <w:t xml:space="preserve">ssue is also associated to the </w:t>
      </w:r>
      <w:r w:rsidRPr="0085504B">
        <w:rPr>
          <w:rFonts w:ascii="Cambria Math" w:hAnsi="Cambria Math"/>
          <w:i/>
        </w:rPr>
        <w:t>Accounting and Accountability in Emerging Economies (AAEE) Conference 2018</w:t>
      </w:r>
      <w:r w:rsidRPr="0085504B">
        <w:rPr>
          <w:rFonts w:ascii="Cambria Math" w:hAnsi="Cambria Math"/>
        </w:rPr>
        <w:t xml:space="preserve"> which will be held </w:t>
      </w:r>
      <w:r w:rsidR="00FB3BEC">
        <w:rPr>
          <w:rFonts w:ascii="Cambria Math" w:hAnsi="Cambria Math"/>
        </w:rPr>
        <w:t>o</w:t>
      </w:r>
      <w:r w:rsidR="00923EBE">
        <w:rPr>
          <w:rFonts w:ascii="Cambria Math" w:hAnsi="Cambria Math"/>
        </w:rPr>
        <w:t>n 28</w:t>
      </w:r>
      <w:r w:rsidR="00923EBE" w:rsidRPr="00923EBE">
        <w:rPr>
          <w:rFonts w:ascii="Cambria Math" w:hAnsi="Cambria Math"/>
          <w:vertAlign w:val="superscript"/>
        </w:rPr>
        <w:t>th</w:t>
      </w:r>
      <w:r w:rsidR="00923EBE">
        <w:rPr>
          <w:rFonts w:ascii="Cambria Math" w:hAnsi="Cambria Math"/>
        </w:rPr>
        <w:t xml:space="preserve"> and 2</w:t>
      </w:r>
      <w:r w:rsidRPr="0085504B">
        <w:rPr>
          <w:rFonts w:ascii="Cambria Math" w:hAnsi="Cambria Math"/>
        </w:rPr>
        <w:t>9</w:t>
      </w:r>
      <w:r w:rsidRPr="0085504B">
        <w:rPr>
          <w:rFonts w:ascii="Cambria Math" w:hAnsi="Cambria Math"/>
          <w:vertAlign w:val="superscript"/>
        </w:rPr>
        <w:t>th</w:t>
      </w:r>
      <w:r w:rsidRPr="0085504B">
        <w:rPr>
          <w:rFonts w:ascii="Cambria Math" w:hAnsi="Cambria Math"/>
        </w:rPr>
        <w:t xml:space="preserve"> June 2018 at the Essex Business School, University of Essex</w:t>
      </w:r>
      <w:r w:rsidR="00581CC7">
        <w:rPr>
          <w:rFonts w:ascii="Cambria Math" w:hAnsi="Cambria Math"/>
        </w:rPr>
        <w:t>, UK</w:t>
      </w:r>
      <w:r w:rsidRPr="0085504B">
        <w:rPr>
          <w:rFonts w:ascii="Cambria Math" w:hAnsi="Cambria Math"/>
        </w:rPr>
        <w:t xml:space="preserve"> (</w:t>
      </w:r>
      <w:hyperlink r:id="rId11" w:history="1">
        <w:r w:rsidRPr="0085504B">
          <w:rPr>
            <w:rStyle w:val="Hyperlink"/>
            <w:rFonts w:ascii="Cambria Math" w:hAnsi="Cambria Math"/>
          </w:rPr>
          <w:t>https://www.essex.ac.uk/events/2018/06/28/aaee-conference-2018</w:t>
        </w:r>
      </w:hyperlink>
      <w:r w:rsidRPr="0085504B">
        <w:rPr>
          <w:rFonts w:ascii="Cambria Math" w:hAnsi="Cambria Math"/>
        </w:rPr>
        <w:t xml:space="preserve">). </w:t>
      </w:r>
      <w:r w:rsidRPr="0085504B">
        <w:rPr>
          <w:rFonts w:ascii="Cambria Math" w:hAnsi="Cambria Math"/>
        </w:rPr>
        <w:lastRenderedPageBreak/>
        <w:t>Papers presented in the c</w:t>
      </w:r>
      <w:r w:rsidR="00AF1EBA">
        <w:rPr>
          <w:rFonts w:ascii="Cambria Math" w:hAnsi="Cambria Math"/>
        </w:rPr>
        <w:t>o</w:t>
      </w:r>
      <w:r w:rsidRPr="0085504B">
        <w:rPr>
          <w:rFonts w:ascii="Cambria Math" w:hAnsi="Cambria Math"/>
        </w:rPr>
        <w:t>nference t</w:t>
      </w:r>
      <w:r w:rsidR="00CD62C2">
        <w:rPr>
          <w:rFonts w:ascii="Cambria Math" w:hAnsi="Cambria Math"/>
        </w:rPr>
        <w:t>hat fall into the scope of the S</w:t>
      </w:r>
      <w:r w:rsidRPr="0085504B">
        <w:rPr>
          <w:rFonts w:ascii="Cambria Math" w:hAnsi="Cambria Math"/>
        </w:rPr>
        <w:t xml:space="preserve">pecial </w:t>
      </w:r>
      <w:r w:rsidR="00CD62C2">
        <w:rPr>
          <w:rFonts w:ascii="Cambria Math" w:hAnsi="Cambria Math"/>
        </w:rPr>
        <w:t>I</w:t>
      </w:r>
      <w:r w:rsidRPr="0085504B">
        <w:rPr>
          <w:rFonts w:ascii="Cambria Math" w:hAnsi="Cambria Math"/>
        </w:rPr>
        <w:t xml:space="preserve">ssue </w:t>
      </w:r>
      <w:r w:rsidR="00923EBE">
        <w:rPr>
          <w:rFonts w:ascii="Cambria Math" w:hAnsi="Cambria Math"/>
        </w:rPr>
        <w:t>may</w:t>
      </w:r>
      <w:r w:rsidRPr="0085504B">
        <w:rPr>
          <w:rFonts w:ascii="Cambria Math" w:hAnsi="Cambria Math"/>
        </w:rPr>
        <w:t xml:space="preserve"> be</w:t>
      </w:r>
      <w:r w:rsidR="0085504B">
        <w:rPr>
          <w:rFonts w:ascii="Cambria Math" w:hAnsi="Cambria Math"/>
        </w:rPr>
        <w:t xml:space="preserve"> invited </w:t>
      </w:r>
      <w:r w:rsidR="00581CC7">
        <w:rPr>
          <w:rFonts w:ascii="Cambria Math" w:hAnsi="Cambria Math"/>
        </w:rPr>
        <w:t xml:space="preserve">for submission to the </w:t>
      </w:r>
      <w:r w:rsidR="00AF1EBA">
        <w:rPr>
          <w:rFonts w:ascii="Cambria Math" w:hAnsi="Cambria Math"/>
        </w:rPr>
        <w:t>S</w:t>
      </w:r>
      <w:r w:rsidR="00581CC7">
        <w:rPr>
          <w:rFonts w:ascii="Cambria Math" w:hAnsi="Cambria Math"/>
        </w:rPr>
        <w:t xml:space="preserve">pecial </w:t>
      </w:r>
      <w:r w:rsidR="00AF1EBA">
        <w:rPr>
          <w:rFonts w:ascii="Cambria Math" w:hAnsi="Cambria Math"/>
        </w:rPr>
        <w:t>I</w:t>
      </w:r>
      <w:r w:rsidR="00581CC7">
        <w:rPr>
          <w:rFonts w:ascii="Cambria Math" w:hAnsi="Cambria Math"/>
        </w:rPr>
        <w:t>ssue.</w:t>
      </w:r>
    </w:p>
    <w:bookmarkEnd w:id="0"/>
    <w:p w:rsidR="00611397" w:rsidRDefault="00611397" w:rsidP="00F51D4B">
      <w:pPr>
        <w:jc w:val="both"/>
        <w:rPr>
          <w:rFonts w:ascii="Cambria Math" w:hAnsi="Cambria Math"/>
        </w:rPr>
      </w:pPr>
    </w:p>
    <w:p w:rsidR="00AF1EBA" w:rsidRPr="0085504B" w:rsidRDefault="00AF1EBA" w:rsidP="00F51D4B">
      <w:pPr>
        <w:jc w:val="both"/>
        <w:rPr>
          <w:rFonts w:ascii="Cambria Math" w:hAnsi="Cambria Math"/>
        </w:rPr>
      </w:pPr>
    </w:p>
    <w:p w:rsidR="00076A83" w:rsidRDefault="00076A83" w:rsidP="00076A83">
      <w:pPr>
        <w:jc w:val="both"/>
        <w:rPr>
          <w:rFonts w:ascii="Cambria Math" w:hAnsi="Cambria Math"/>
          <w:b/>
        </w:rPr>
      </w:pPr>
      <w:r w:rsidRPr="0085504B">
        <w:rPr>
          <w:rFonts w:ascii="Cambria Math" w:hAnsi="Cambria Math"/>
          <w:b/>
        </w:rPr>
        <w:t>Submissions and deadlines</w:t>
      </w:r>
    </w:p>
    <w:p w:rsidR="009C7854" w:rsidRPr="0085504B" w:rsidRDefault="009C7854" w:rsidP="00076A83">
      <w:pPr>
        <w:jc w:val="both"/>
        <w:rPr>
          <w:rFonts w:ascii="Cambria Math" w:hAnsi="Cambria Math"/>
          <w:b/>
        </w:rPr>
      </w:pPr>
    </w:p>
    <w:p w:rsidR="00076A83" w:rsidRPr="0085504B" w:rsidRDefault="00076A83" w:rsidP="0085504B">
      <w:pPr>
        <w:pStyle w:val="Listenabsatz"/>
        <w:numPr>
          <w:ilvl w:val="0"/>
          <w:numId w:val="2"/>
        </w:num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 xml:space="preserve">The closing date for submissions for this special issue is </w:t>
      </w:r>
      <w:r w:rsidR="00CD62C2" w:rsidRPr="00CD62C2">
        <w:rPr>
          <w:rFonts w:ascii="Cambria Math" w:hAnsi="Cambria Math"/>
          <w:b/>
        </w:rPr>
        <w:t>28</w:t>
      </w:r>
      <w:r w:rsidR="00CD62C2" w:rsidRPr="00CD62C2">
        <w:rPr>
          <w:rFonts w:ascii="Cambria Math" w:hAnsi="Cambria Math"/>
          <w:b/>
          <w:vertAlign w:val="superscript"/>
        </w:rPr>
        <w:t>th</w:t>
      </w:r>
      <w:r w:rsidR="00CD62C2" w:rsidRPr="00CD62C2">
        <w:rPr>
          <w:rFonts w:ascii="Cambria Math" w:hAnsi="Cambria Math"/>
          <w:b/>
        </w:rPr>
        <w:t xml:space="preserve"> February</w:t>
      </w:r>
      <w:r w:rsidR="00923EBE" w:rsidRPr="00CD62C2">
        <w:rPr>
          <w:rFonts w:ascii="Cambria Math" w:hAnsi="Cambria Math"/>
          <w:b/>
        </w:rPr>
        <w:t xml:space="preserve"> 201</w:t>
      </w:r>
      <w:r w:rsidR="00CD62C2" w:rsidRPr="00CD62C2">
        <w:rPr>
          <w:rFonts w:ascii="Cambria Math" w:hAnsi="Cambria Math"/>
          <w:b/>
        </w:rPr>
        <w:t>9</w:t>
      </w:r>
      <w:r w:rsidRPr="0085504B">
        <w:rPr>
          <w:rFonts w:ascii="Cambria Math" w:hAnsi="Cambria Math"/>
        </w:rPr>
        <w:t>.</w:t>
      </w:r>
    </w:p>
    <w:p w:rsidR="00923EBE" w:rsidRDefault="00923EBE" w:rsidP="0085504B">
      <w:pPr>
        <w:pStyle w:val="Listenabsatz"/>
        <w:numPr>
          <w:ilvl w:val="0"/>
          <w:numId w:val="2"/>
        </w:numPr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The special issue is expected to be published in </w:t>
      </w:r>
      <w:r w:rsidR="00CD62C2" w:rsidRPr="00CD62C2">
        <w:rPr>
          <w:rFonts w:ascii="Cambria Math" w:hAnsi="Cambria Math"/>
          <w:b/>
        </w:rPr>
        <w:t xml:space="preserve">summer </w:t>
      </w:r>
      <w:r w:rsidRPr="00923EBE">
        <w:rPr>
          <w:rFonts w:ascii="Cambria Math" w:hAnsi="Cambria Math"/>
          <w:b/>
        </w:rPr>
        <w:t>2019</w:t>
      </w:r>
      <w:r>
        <w:rPr>
          <w:rFonts w:ascii="Cambria Math" w:hAnsi="Cambria Math"/>
        </w:rPr>
        <w:t>.</w:t>
      </w:r>
    </w:p>
    <w:p w:rsidR="00076A83" w:rsidRPr="0085504B" w:rsidRDefault="00076A83" w:rsidP="0085504B">
      <w:pPr>
        <w:pStyle w:val="Listenabsatz"/>
        <w:numPr>
          <w:ilvl w:val="0"/>
          <w:numId w:val="2"/>
        </w:num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 xml:space="preserve">Manuscripts submissions should be made via the SAMPJ </w:t>
      </w:r>
      <w:hyperlink r:id="rId12" w:history="1">
        <w:r w:rsidRPr="0085504B">
          <w:rPr>
            <w:rStyle w:val="Hyperlink"/>
            <w:rFonts w:ascii="Cambria Math" w:hAnsi="Cambria Math"/>
          </w:rPr>
          <w:t>Scholar One Manuscripts</w:t>
        </w:r>
      </w:hyperlink>
      <w:r w:rsidRPr="0085504B">
        <w:rPr>
          <w:rFonts w:ascii="Cambria Math" w:hAnsi="Cambria Math"/>
        </w:rPr>
        <w:t xml:space="preserve"> selecting the special issue from the list.</w:t>
      </w:r>
    </w:p>
    <w:p w:rsidR="00076A83" w:rsidRPr="0085504B" w:rsidRDefault="00076A83" w:rsidP="0085504B">
      <w:pPr>
        <w:pStyle w:val="Listenabsatz"/>
        <w:numPr>
          <w:ilvl w:val="0"/>
          <w:numId w:val="2"/>
        </w:num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 xml:space="preserve">Please check the </w:t>
      </w:r>
      <w:hyperlink r:id="rId13" w:history="1">
        <w:r w:rsidRPr="0085504B">
          <w:rPr>
            <w:rStyle w:val="Hyperlink"/>
            <w:rFonts w:ascii="Cambria Math" w:hAnsi="Cambria Math"/>
          </w:rPr>
          <w:t>author guidelines</w:t>
        </w:r>
      </w:hyperlink>
      <w:r w:rsidRPr="0085504B">
        <w:rPr>
          <w:rFonts w:ascii="Cambria Math" w:hAnsi="Cambria Math"/>
        </w:rPr>
        <w:t xml:space="preserve"> before submitting.</w:t>
      </w:r>
    </w:p>
    <w:p w:rsidR="00076A83" w:rsidRPr="0085504B" w:rsidRDefault="00076A83" w:rsidP="0085504B">
      <w:pPr>
        <w:pStyle w:val="Listenabsatz"/>
        <w:numPr>
          <w:ilvl w:val="0"/>
          <w:numId w:val="2"/>
        </w:numPr>
        <w:jc w:val="both"/>
        <w:rPr>
          <w:rStyle w:val="Hyperlink"/>
          <w:rFonts w:ascii="Cambria Math" w:hAnsi="Cambria Math"/>
          <w:color w:val="auto"/>
          <w:u w:val="none"/>
        </w:rPr>
      </w:pPr>
      <w:r w:rsidRPr="0085504B">
        <w:rPr>
          <w:rFonts w:ascii="Cambria Math" w:hAnsi="Cambria Math"/>
        </w:rPr>
        <w:t>The guest editors welcome enquiries and declarat</w:t>
      </w:r>
      <w:r w:rsidR="0085504B" w:rsidRPr="0085504B">
        <w:rPr>
          <w:rFonts w:ascii="Cambria Math" w:hAnsi="Cambria Math"/>
        </w:rPr>
        <w:t xml:space="preserve">ions of interest in submitting. </w:t>
      </w:r>
      <w:r w:rsidR="001B3222">
        <w:rPr>
          <w:rFonts w:ascii="Cambria Math" w:hAnsi="Cambria Math"/>
        </w:rPr>
        <w:t>Please send your e</w:t>
      </w:r>
      <w:r w:rsidRPr="0085504B">
        <w:rPr>
          <w:rFonts w:ascii="Cambria Math" w:hAnsi="Cambria Math"/>
        </w:rPr>
        <w:t xml:space="preserve">nquiries to </w:t>
      </w:r>
      <w:r w:rsidR="0085504B" w:rsidRPr="0085504B">
        <w:rPr>
          <w:rFonts w:ascii="Cambria Math" w:hAnsi="Cambria Math"/>
        </w:rPr>
        <w:t xml:space="preserve">Dr </w:t>
      </w:r>
      <w:r w:rsidRPr="0085504B">
        <w:rPr>
          <w:rFonts w:ascii="Cambria Math" w:hAnsi="Cambria Math"/>
        </w:rPr>
        <w:t xml:space="preserve">Diogenis Baboukardos </w:t>
      </w:r>
      <w:hyperlink r:id="rId14" w:history="1">
        <w:r w:rsidRPr="0085504B">
          <w:rPr>
            <w:rStyle w:val="Hyperlink"/>
            <w:rFonts w:ascii="Cambria Math" w:hAnsi="Cambria Math"/>
          </w:rPr>
          <w:t>d.baboukardos@essex.ac.uk</w:t>
        </w:r>
      </w:hyperlink>
    </w:p>
    <w:p w:rsidR="0085504B" w:rsidRPr="0085504B" w:rsidRDefault="0085504B" w:rsidP="0085504B">
      <w:pPr>
        <w:pStyle w:val="Listenabsatz"/>
        <w:numPr>
          <w:ilvl w:val="0"/>
          <w:numId w:val="2"/>
        </w:numPr>
        <w:jc w:val="both"/>
        <w:rPr>
          <w:rFonts w:ascii="Cambria Math" w:hAnsi="Cambria Math"/>
        </w:rPr>
      </w:pPr>
      <w:r w:rsidRPr="0085504B">
        <w:rPr>
          <w:rFonts w:ascii="Cambria Math" w:hAnsi="Cambria Math"/>
        </w:rPr>
        <w:t>All papers will be reviewed in accordance with SAMPJ's processes.</w:t>
      </w:r>
    </w:p>
    <w:p w:rsidR="00EF1FD2" w:rsidRDefault="00EF1FD2" w:rsidP="00076A83">
      <w:pPr>
        <w:jc w:val="both"/>
        <w:rPr>
          <w:rFonts w:ascii="Cambria Math" w:hAnsi="Cambria Math"/>
        </w:rPr>
      </w:pPr>
    </w:p>
    <w:p w:rsidR="00AE3640" w:rsidRDefault="00AE3640" w:rsidP="00076A83">
      <w:pPr>
        <w:jc w:val="both"/>
        <w:rPr>
          <w:rFonts w:ascii="Cambria Math" w:hAnsi="Cambria Math"/>
        </w:rPr>
      </w:pPr>
    </w:p>
    <w:p w:rsidR="00581CC7" w:rsidRPr="0085504B" w:rsidRDefault="00581CC7" w:rsidP="00581CC7">
      <w:pPr>
        <w:jc w:val="both"/>
        <w:rPr>
          <w:rFonts w:ascii="Cambria Math" w:hAnsi="Cambria Math"/>
          <w:b/>
        </w:rPr>
      </w:pPr>
      <w:r>
        <w:rPr>
          <w:rFonts w:ascii="Cambria Math" w:hAnsi="Cambria Math"/>
          <w:b/>
        </w:rPr>
        <w:t>References</w:t>
      </w:r>
    </w:p>
    <w:p w:rsidR="00E57CAE" w:rsidRDefault="00E57CAE" w:rsidP="00E57CAE">
      <w:pPr>
        <w:jc w:val="both"/>
        <w:rPr>
          <w:rFonts w:ascii="Cambria Math" w:hAnsi="Cambria Math"/>
        </w:rPr>
      </w:pPr>
    </w:p>
    <w:p w:rsidR="00821A06" w:rsidRDefault="00821A06" w:rsidP="00821A06">
      <w:pPr>
        <w:ind w:left="397" w:hanging="397"/>
        <w:jc w:val="both"/>
        <w:rPr>
          <w:rFonts w:ascii="Cambria Math" w:hAnsi="Cambria Math"/>
        </w:rPr>
      </w:pPr>
      <w:r>
        <w:rPr>
          <w:rFonts w:ascii="Cambria Math" w:hAnsi="Cambria Math"/>
        </w:rPr>
        <w:t xml:space="preserve">Baboukardos, D., &amp; Rimmel, G. (2016) </w:t>
      </w:r>
      <w:r w:rsidRPr="00821A06">
        <w:rPr>
          <w:rFonts w:ascii="Cambria Math" w:hAnsi="Cambria Math"/>
        </w:rPr>
        <w:t>Value relevance of accounting information under</w:t>
      </w:r>
      <w:r>
        <w:rPr>
          <w:rFonts w:ascii="Cambria Math" w:hAnsi="Cambria Math"/>
        </w:rPr>
        <w:t xml:space="preserve"> </w:t>
      </w:r>
      <w:r w:rsidRPr="00821A06">
        <w:rPr>
          <w:rFonts w:ascii="Cambria Math" w:hAnsi="Cambria Math"/>
        </w:rPr>
        <w:t>an integrated reporting approach: A research note</w:t>
      </w:r>
      <w:r>
        <w:rPr>
          <w:rFonts w:ascii="Cambria Math" w:hAnsi="Cambria Math"/>
        </w:rPr>
        <w:t xml:space="preserve">. </w:t>
      </w:r>
      <w:r w:rsidRPr="003A5328">
        <w:rPr>
          <w:rFonts w:ascii="Cambria Math" w:hAnsi="Cambria Math"/>
          <w:i/>
        </w:rPr>
        <w:t>Journal of Accounting and Public Policy</w:t>
      </w:r>
      <w:r>
        <w:rPr>
          <w:rFonts w:ascii="Cambria Math" w:hAnsi="Cambria Math"/>
        </w:rPr>
        <w:t xml:space="preserve">, 35(4), 437-452. </w:t>
      </w:r>
    </w:p>
    <w:p w:rsidR="00E20AD3" w:rsidRDefault="00E20AD3" w:rsidP="00E20AD3">
      <w:pPr>
        <w:ind w:left="397" w:hanging="397"/>
        <w:jc w:val="both"/>
        <w:rPr>
          <w:rFonts w:ascii="Cambria Math" w:hAnsi="Cambria Math"/>
        </w:rPr>
      </w:pPr>
      <w:r w:rsidRPr="00E20AD3">
        <w:rPr>
          <w:rFonts w:ascii="Cambria Math" w:hAnsi="Cambria Math"/>
        </w:rPr>
        <w:t>Cahaya</w:t>
      </w:r>
      <w:r>
        <w:rPr>
          <w:rFonts w:ascii="Cambria Math" w:hAnsi="Cambria Math"/>
        </w:rPr>
        <w:t xml:space="preserve"> F.R.</w:t>
      </w:r>
      <w:r w:rsidRPr="00E20AD3">
        <w:rPr>
          <w:rFonts w:ascii="Cambria Math" w:hAnsi="Cambria Math"/>
        </w:rPr>
        <w:t xml:space="preserve">, </w:t>
      </w:r>
      <w:r>
        <w:rPr>
          <w:rFonts w:ascii="Cambria Math" w:hAnsi="Cambria Math"/>
        </w:rPr>
        <w:t>P</w:t>
      </w:r>
      <w:r w:rsidRPr="00E20AD3">
        <w:rPr>
          <w:rFonts w:ascii="Cambria Math" w:hAnsi="Cambria Math"/>
        </w:rPr>
        <w:t>orter,</w:t>
      </w:r>
      <w:r>
        <w:rPr>
          <w:rFonts w:ascii="Cambria Math" w:hAnsi="Cambria Math"/>
        </w:rPr>
        <w:t xml:space="preserve"> S.,</w:t>
      </w:r>
      <w:r w:rsidRPr="00E20AD3">
        <w:rPr>
          <w:rFonts w:ascii="Cambria Math" w:hAnsi="Cambria Math"/>
        </w:rPr>
        <w:t xml:space="preserve"> Tower, </w:t>
      </w:r>
      <w:r>
        <w:rPr>
          <w:rFonts w:ascii="Cambria Math" w:hAnsi="Cambria Math"/>
        </w:rPr>
        <w:t xml:space="preserve">G., &amp; </w:t>
      </w:r>
      <w:r w:rsidRPr="00E20AD3">
        <w:rPr>
          <w:rFonts w:ascii="Cambria Math" w:hAnsi="Cambria Math"/>
        </w:rPr>
        <w:t>Brown,</w:t>
      </w:r>
      <w:r>
        <w:rPr>
          <w:rFonts w:ascii="Cambria Math" w:hAnsi="Cambria Math"/>
        </w:rPr>
        <w:t xml:space="preserve"> A.</w:t>
      </w:r>
      <w:r w:rsidRPr="00E20AD3">
        <w:rPr>
          <w:rFonts w:ascii="Cambria Math" w:hAnsi="Cambria Math"/>
        </w:rPr>
        <w:t xml:space="preserve"> (2015) The Indonesian</w:t>
      </w:r>
      <w:r>
        <w:rPr>
          <w:rFonts w:ascii="Cambria Math" w:hAnsi="Cambria Math"/>
        </w:rPr>
        <w:t xml:space="preserve"> </w:t>
      </w:r>
      <w:r w:rsidRPr="00E20AD3">
        <w:rPr>
          <w:rFonts w:ascii="Cambria Math" w:hAnsi="Cambria Math"/>
        </w:rPr>
        <w:t>Government’s coercive pressure on labour disclosures: Conflicting interests or government</w:t>
      </w:r>
      <w:r>
        <w:rPr>
          <w:rFonts w:ascii="Cambria Math" w:hAnsi="Cambria Math"/>
        </w:rPr>
        <w:t xml:space="preserve"> </w:t>
      </w:r>
      <w:r w:rsidRPr="00E20AD3">
        <w:rPr>
          <w:rFonts w:ascii="Cambria Math" w:hAnsi="Cambria Math"/>
        </w:rPr>
        <w:t xml:space="preserve">ambivalence? </w:t>
      </w:r>
      <w:r w:rsidRPr="003A5328">
        <w:rPr>
          <w:rFonts w:ascii="Cambria Math" w:hAnsi="Cambria Math"/>
          <w:i/>
        </w:rPr>
        <w:t>Sustainability Accounting, Management and Policy Journal</w:t>
      </w:r>
      <w:r>
        <w:rPr>
          <w:rFonts w:ascii="Cambria Math" w:hAnsi="Cambria Math"/>
        </w:rPr>
        <w:t>, 6(</w:t>
      </w:r>
      <w:r w:rsidRPr="00E20AD3">
        <w:rPr>
          <w:rFonts w:ascii="Cambria Math" w:hAnsi="Cambria Math"/>
        </w:rPr>
        <w:t>4</w:t>
      </w:r>
      <w:r>
        <w:rPr>
          <w:rFonts w:ascii="Cambria Math" w:hAnsi="Cambria Math"/>
        </w:rPr>
        <w:t>)</w:t>
      </w:r>
      <w:r w:rsidRPr="00E20AD3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</w:t>
      </w:r>
      <w:r w:rsidRPr="00E20AD3">
        <w:rPr>
          <w:rFonts w:ascii="Cambria Math" w:hAnsi="Cambria Math"/>
        </w:rPr>
        <w:t>475-497</w:t>
      </w:r>
    </w:p>
    <w:p w:rsidR="00383FF6" w:rsidRDefault="00383FF6" w:rsidP="00355294">
      <w:pPr>
        <w:ind w:left="397" w:hanging="397"/>
        <w:jc w:val="both"/>
        <w:rPr>
          <w:rFonts w:ascii="Cambria Math" w:hAnsi="Cambria Math"/>
        </w:rPr>
      </w:pPr>
      <w:r w:rsidRPr="00383FF6">
        <w:rPr>
          <w:rFonts w:ascii="Cambria Math" w:hAnsi="Cambria Math"/>
        </w:rPr>
        <w:t xml:space="preserve">Frynas, </w:t>
      </w:r>
      <w:r w:rsidR="008F24A9">
        <w:rPr>
          <w:rFonts w:ascii="Cambria Math" w:hAnsi="Cambria Math"/>
        </w:rPr>
        <w:t>J. G.</w:t>
      </w:r>
      <w:r w:rsidRPr="00383FF6">
        <w:rPr>
          <w:rFonts w:ascii="Cambria Math" w:hAnsi="Cambria Math"/>
        </w:rPr>
        <w:t xml:space="preserve">, &amp; Stephens, S. (2014). Political Corporate Social Responsibility: Reviewing Theories and Setting New Agendas. </w:t>
      </w:r>
      <w:r w:rsidRPr="009247EF">
        <w:rPr>
          <w:rFonts w:ascii="Cambria Math" w:hAnsi="Cambria Math"/>
          <w:i/>
        </w:rPr>
        <w:t>International Journal of Management Reviews,</w:t>
      </w:r>
      <w:r w:rsidRPr="00383FF6">
        <w:rPr>
          <w:rFonts w:ascii="Cambria Math" w:hAnsi="Cambria Math"/>
        </w:rPr>
        <w:t xml:space="preserve"> 17(4), 483-509. </w:t>
      </w:r>
    </w:p>
    <w:p w:rsidR="00383FF6" w:rsidRDefault="00383FF6" w:rsidP="00355294">
      <w:pPr>
        <w:ind w:left="397" w:hanging="397"/>
        <w:jc w:val="both"/>
        <w:rPr>
          <w:rFonts w:ascii="Cambria Math" w:hAnsi="Cambria Math"/>
        </w:rPr>
      </w:pPr>
      <w:r w:rsidRPr="00383FF6">
        <w:rPr>
          <w:rFonts w:ascii="Cambria Math" w:hAnsi="Cambria Math"/>
        </w:rPr>
        <w:t xml:space="preserve">Frynas, </w:t>
      </w:r>
      <w:r w:rsidR="008F24A9">
        <w:rPr>
          <w:rFonts w:ascii="Cambria Math" w:hAnsi="Cambria Math"/>
        </w:rPr>
        <w:t>J. G.</w:t>
      </w:r>
      <w:r w:rsidRPr="00383FF6">
        <w:rPr>
          <w:rFonts w:ascii="Cambria Math" w:hAnsi="Cambria Math"/>
        </w:rPr>
        <w:t xml:space="preserve"> (2008). 'Corporate Social Responsibility and International Development: Critical Assessment'. </w:t>
      </w:r>
      <w:r w:rsidRPr="008F24A9">
        <w:rPr>
          <w:rFonts w:ascii="Cambria Math" w:hAnsi="Cambria Math"/>
          <w:i/>
        </w:rPr>
        <w:t>Corporate Governance:</w:t>
      </w:r>
      <w:r w:rsidRPr="00383FF6">
        <w:rPr>
          <w:rFonts w:ascii="Cambria Math" w:hAnsi="Cambria Math"/>
        </w:rPr>
        <w:t xml:space="preserve"> </w:t>
      </w:r>
      <w:r w:rsidRPr="009247EF">
        <w:rPr>
          <w:rFonts w:ascii="Cambria Math" w:hAnsi="Cambria Math"/>
          <w:i/>
        </w:rPr>
        <w:t>An International Review</w:t>
      </w:r>
      <w:r w:rsidRPr="00383FF6">
        <w:rPr>
          <w:rFonts w:ascii="Cambria Math" w:hAnsi="Cambria Math"/>
        </w:rPr>
        <w:t>, 16(4), 274-281.</w:t>
      </w:r>
    </w:p>
    <w:p w:rsidR="00D41274" w:rsidRDefault="00D41274" w:rsidP="00355294">
      <w:pPr>
        <w:ind w:left="397" w:hanging="397"/>
        <w:jc w:val="both"/>
        <w:rPr>
          <w:rFonts w:ascii="Cambria Math" w:hAnsi="Cambria Math"/>
        </w:rPr>
      </w:pPr>
      <w:r w:rsidRPr="00C37BDC">
        <w:rPr>
          <w:rFonts w:ascii="Cambria Math" w:hAnsi="Cambria Math"/>
        </w:rPr>
        <w:t xml:space="preserve">Gond, J.P., Grubnic, S., Herzig, C. and Moon, J., </w:t>
      </w:r>
      <w:r>
        <w:rPr>
          <w:rFonts w:ascii="Cambria Math" w:hAnsi="Cambria Math"/>
        </w:rPr>
        <w:t>(</w:t>
      </w:r>
      <w:r w:rsidRPr="00C37BDC">
        <w:rPr>
          <w:rFonts w:ascii="Cambria Math" w:hAnsi="Cambria Math"/>
        </w:rPr>
        <w:t>2012</w:t>
      </w:r>
      <w:r>
        <w:rPr>
          <w:rFonts w:ascii="Cambria Math" w:hAnsi="Cambria Math"/>
        </w:rPr>
        <w:t>)</w:t>
      </w:r>
      <w:r w:rsidRPr="00C37BDC">
        <w:rPr>
          <w:rFonts w:ascii="Cambria Math" w:hAnsi="Cambria Math"/>
        </w:rPr>
        <w:t>. Configuring management control systems: Theorizing the integration of strategy and sustainability. </w:t>
      </w:r>
      <w:r w:rsidRPr="00C37BDC">
        <w:rPr>
          <w:rFonts w:ascii="Cambria Math" w:hAnsi="Cambria Math"/>
          <w:i/>
        </w:rPr>
        <w:t>Management Accounting Research</w:t>
      </w:r>
      <w:r w:rsidRPr="00C37BDC">
        <w:rPr>
          <w:rFonts w:ascii="Cambria Math" w:hAnsi="Cambria Math"/>
        </w:rPr>
        <w:t>, 23(3), pp.205-223.</w:t>
      </w:r>
    </w:p>
    <w:p w:rsidR="00150262" w:rsidRDefault="00150262" w:rsidP="005F1530">
      <w:pPr>
        <w:ind w:left="397" w:hanging="397"/>
        <w:jc w:val="both"/>
        <w:rPr>
          <w:rFonts w:ascii="Cambria Math" w:hAnsi="Cambria Math"/>
        </w:rPr>
      </w:pPr>
      <w:r w:rsidRPr="00150262">
        <w:rPr>
          <w:rFonts w:ascii="Cambria Math" w:hAnsi="Cambria Math"/>
        </w:rPr>
        <w:t xml:space="preserve">Hopper, T., Lassou, P., &amp; Soobaroyen, T. (2017). Globalisation, accounting and developing countries. </w:t>
      </w:r>
      <w:r w:rsidRPr="005F1530">
        <w:rPr>
          <w:rFonts w:ascii="Cambria Math" w:hAnsi="Cambria Math"/>
          <w:i/>
        </w:rPr>
        <w:t>Critical Perspectives on Accounting</w:t>
      </w:r>
      <w:r w:rsidRPr="00150262">
        <w:rPr>
          <w:rFonts w:ascii="Cambria Math" w:hAnsi="Cambria Math"/>
        </w:rPr>
        <w:t>, 43, 125-148.</w:t>
      </w:r>
    </w:p>
    <w:p w:rsidR="00966C65" w:rsidRDefault="00966C65" w:rsidP="00966C65">
      <w:pPr>
        <w:ind w:left="397" w:hanging="397"/>
        <w:jc w:val="both"/>
        <w:rPr>
          <w:rFonts w:ascii="Cambria Math" w:hAnsi="Cambria Math"/>
        </w:rPr>
      </w:pPr>
      <w:r w:rsidRPr="00966C65">
        <w:rPr>
          <w:rFonts w:ascii="Cambria Math" w:hAnsi="Cambria Math"/>
        </w:rPr>
        <w:t>Hossain,</w:t>
      </w:r>
      <w:r>
        <w:rPr>
          <w:rFonts w:ascii="Cambria Math" w:hAnsi="Cambria Math"/>
        </w:rPr>
        <w:t xml:space="preserve"> M.,</w:t>
      </w:r>
      <w:r w:rsidRPr="00966C65">
        <w:rPr>
          <w:rFonts w:ascii="Cambria Math" w:hAnsi="Cambria Math"/>
        </w:rPr>
        <w:t xml:space="preserve"> Alam, </w:t>
      </w:r>
      <w:r>
        <w:rPr>
          <w:rFonts w:ascii="Cambria Math" w:hAnsi="Cambria Math"/>
        </w:rPr>
        <w:t xml:space="preserve">M., </w:t>
      </w:r>
      <w:r w:rsidRPr="00966C65">
        <w:rPr>
          <w:rFonts w:ascii="Cambria Math" w:hAnsi="Cambria Math"/>
        </w:rPr>
        <w:t xml:space="preserve">Hecimovic, </w:t>
      </w:r>
      <w:r>
        <w:rPr>
          <w:rFonts w:ascii="Cambria Math" w:hAnsi="Cambria Math"/>
        </w:rPr>
        <w:t xml:space="preserve">A., </w:t>
      </w:r>
      <w:r w:rsidRPr="00966C65">
        <w:rPr>
          <w:rFonts w:ascii="Cambria Math" w:hAnsi="Cambria Math"/>
        </w:rPr>
        <w:t>Hossain,</w:t>
      </w:r>
      <w:r>
        <w:rPr>
          <w:rFonts w:ascii="Cambria Math" w:hAnsi="Cambria Math"/>
        </w:rPr>
        <w:t xml:space="preserve"> M.A., &amp; </w:t>
      </w:r>
      <w:r w:rsidRPr="00966C65">
        <w:rPr>
          <w:rFonts w:ascii="Cambria Math" w:hAnsi="Cambria Math"/>
        </w:rPr>
        <w:t>Lema</w:t>
      </w:r>
      <w:r>
        <w:rPr>
          <w:rFonts w:ascii="Cambria Math" w:hAnsi="Cambria Math"/>
        </w:rPr>
        <w:t xml:space="preserve"> </w:t>
      </w:r>
      <w:r w:rsidRPr="00966C65">
        <w:rPr>
          <w:rFonts w:ascii="Cambria Math" w:hAnsi="Cambria Math"/>
        </w:rPr>
        <w:t>A</w:t>
      </w:r>
      <w:r>
        <w:rPr>
          <w:rFonts w:ascii="Cambria Math" w:hAnsi="Cambria Math"/>
        </w:rPr>
        <w:t>.</w:t>
      </w:r>
      <w:r w:rsidRPr="00966C65">
        <w:rPr>
          <w:rFonts w:ascii="Cambria Math" w:hAnsi="Cambria Math"/>
        </w:rPr>
        <w:t xml:space="preserve"> C</w:t>
      </w:r>
      <w:r>
        <w:rPr>
          <w:rFonts w:ascii="Cambria Math" w:hAnsi="Cambria Math"/>
        </w:rPr>
        <w:t>.</w:t>
      </w:r>
      <w:r w:rsidRPr="00966C65">
        <w:rPr>
          <w:rFonts w:ascii="Cambria Math" w:hAnsi="Cambria Math"/>
        </w:rPr>
        <w:t xml:space="preserve"> (2016) Contributing barriers to corporate social and environmental</w:t>
      </w:r>
      <w:r>
        <w:rPr>
          <w:rFonts w:ascii="Cambria Math" w:hAnsi="Cambria Math"/>
        </w:rPr>
        <w:t xml:space="preserve"> </w:t>
      </w:r>
      <w:r w:rsidRPr="00966C65">
        <w:rPr>
          <w:rFonts w:ascii="Cambria Math" w:hAnsi="Cambria Math"/>
        </w:rPr>
        <w:t>responsibility practices in a developing country: A stakeholder perspective</w:t>
      </w:r>
      <w:r>
        <w:rPr>
          <w:rFonts w:ascii="Cambria Math" w:hAnsi="Cambria Math"/>
        </w:rPr>
        <w:t>.</w:t>
      </w:r>
      <w:r w:rsidRPr="00966C65">
        <w:rPr>
          <w:rFonts w:ascii="Cambria Math" w:hAnsi="Cambria Math"/>
        </w:rPr>
        <w:t xml:space="preserve"> </w:t>
      </w:r>
      <w:r w:rsidRPr="003A5328">
        <w:rPr>
          <w:rFonts w:ascii="Cambria Math" w:hAnsi="Cambria Math"/>
          <w:i/>
        </w:rPr>
        <w:t>Sustainability Accounting, Management and Policy Journal</w:t>
      </w:r>
      <w:r>
        <w:rPr>
          <w:rFonts w:ascii="Cambria Math" w:hAnsi="Cambria Math"/>
        </w:rPr>
        <w:t>,</w:t>
      </w:r>
      <w:r w:rsidRPr="00966C65">
        <w:rPr>
          <w:rFonts w:ascii="Cambria Math" w:hAnsi="Cambria Math"/>
        </w:rPr>
        <w:t xml:space="preserve"> 7</w:t>
      </w:r>
      <w:r>
        <w:rPr>
          <w:rFonts w:ascii="Cambria Math" w:hAnsi="Cambria Math"/>
        </w:rPr>
        <w:t>(</w:t>
      </w:r>
      <w:r w:rsidRPr="00966C65">
        <w:rPr>
          <w:rFonts w:ascii="Cambria Math" w:hAnsi="Cambria Math"/>
        </w:rPr>
        <w:t>2</w:t>
      </w:r>
      <w:r>
        <w:rPr>
          <w:rFonts w:ascii="Cambria Math" w:hAnsi="Cambria Math"/>
        </w:rPr>
        <w:t xml:space="preserve">), </w:t>
      </w:r>
      <w:r w:rsidRPr="00966C65">
        <w:rPr>
          <w:rFonts w:ascii="Cambria Math" w:hAnsi="Cambria Math"/>
        </w:rPr>
        <w:t>319-346</w:t>
      </w:r>
      <w:r>
        <w:rPr>
          <w:rFonts w:ascii="Cambria Math" w:hAnsi="Cambria Math"/>
        </w:rPr>
        <w:t>.</w:t>
      </w:r>
    </w:p>
    <w:p w:rsidR="00E835F5" w:rsidRDefault="00E835F5" w:rsidP="00E835F5">
      <w:pPr>
        <w:ind w:left="397" w:hanging="397"/>
        <w:jc w:val="both"/>
        <w:rPr>
          <w:rFonts w:ascii="Cambria Math" w:hAnsi="Cambria Math"/>
        </w:rPr>
      </w:pPr>
      <w:r w:rsidRPr="00E835F5">
        <w:rPr>
          <w:rFonts w:ascii="Cambria Math" w:hAnsi="Cambria Math"/>
        </w:rPr>
        <w:t>Hsiao</w:t>
      </w:r>
      <w:r>
        <w:rPr>
          <w:rFonts w:ascii="Cambria Math" w:hAnsi="Cambria Math"/>
        </w:rPr>
        <w:t>, P.C.K.</w:t>
      </w:r>
      <w:r w:rsidRPr="00E835F5">
        <w:rPr>
          <w:rFonts w:ascii="Cambria Math" w:hAnsi="Cambria Math"/>
        </w:rPr>
        <w:t>,</w:t>
      </w:r>
      <w:r>
        <w:rPr>
          <w:rFonts w:ascii="Cambria Math" w:hAnsi="Cambria Math"/>
        </w:rPr>
        <w:t xml:space="preserve"> &amp;</w:t>
      </w:r>
      <w:r w:rsidRPr="00E835F5">
        <w:rPr>
          <w:rFonts w:ascii="Cambria Math" w:hAnsi="Cambria Math"/>
        </w:rPr>
        <w:t xml:space="preserve"> Kelly</w:t>
      </w:r>
      <w:r>
        <w:rPr>
          <w:rFonts w:ascii="Cambria Math" w:hAnsi="Cambria Math"/>
        </w:rPr>
        <w:t>, M.</w:t>
      </w:r>
      <w:r w:rsidRPr="00E835F5">
        <w:rPr>
          <w:rFonts w:ascii="Cambria Math" w:hAnsi="Cambria Math"/>
        </w:rPr>
        <w:t xml:space="preserve"> (2017) Investment considerations and impressions of integrated</w:t>
      </w:r>
      <w:r>
        <w:rPr>
          <w:rFonts w:ascii="Cambria Math" w:hAnsi="Cambria Math"/>
        </w:rPr>
        <w:t xml:space="preserve"> </w:t>
      </w:r>
      <w:r w:rsidRPr="00E835F5">
        <w:rPr>
          <w:rFonts w:ascii="Cambria Math" w:hAnsi="Cambria Math"/>
        </w:rPr>
        <w:t xml:space="preserve">reporting: Evidence from Taiwan, </w:t>
      </w:r>
      <w:r w:rsidRPr="003A5328">
        <w:rPr>
          <w:rFonts w:ascii="Cambria Math" w:hAnsi="Cambria Math"/>
          <w:i/>
        </w:rPr>
        <w:t>Sustainability Accounting, Management and Policy Journal</w:t>
      </w:r>
      <w:r>
        <w:rPr>
          <w:rFonts w:ascii="Cambria Math" w:hAnsi="Cambria Math"/>
        </w:rPr>
        <w:t>, forthcoming</w:t>
      </w:r>
    </w:p>
    <w:p w:rsidR="00355294" w:rsidRDefault="00355294" w:rsidP="00355294">
      <w:pPr>
        <w:ind w:left="397" w:hanging="397"/>
        <w:jc w:val="both"/>
        <w:rPr>
          <w:rFonts w:ascii="Cambria Math" w:hAnsi="Cambria Math"/>
        </w:rPr>
      </w:pPr>
      <w:r w:rsidRPr="00355294">
        <w:rPr>
          <w:rFonts w:ascii="Cambria Math" w:hAnsi="Cambria Math"/>
        </w:rPr>
        <w:t>I</w:t>
      </w:r>
      <w:r>
        <w:rPr>
          <w:rFonts w:ascii="Cambria Math" w:hAnsi="Cambria Math"/>
        </w:rPr>
        <w:t xml:space="preserve">nternational </w:t>
      </w:r>
      <w:r w:rsidRPr="00355294">
        <w:rPr>
          <w:rFonts w:ascii="Cambria Math" w:hAnsi="Cambria Math"/>
        </w:rPr>
        <w:t>M</w:t>
      </w:r>
      <w:r>
        <w:rPr>
          <w:rFonts w:ascii="Cambria Math" w:hAnsi="Cambria Math"/>
        </w:rPr>
        <w:t xml:space="preserve">onetary </w:t>
      </w:r>
      <w:r w:rsidRPr="00355294">
        <w:rPr>
          <w:rFonts w:ascii="Cambria Math" w:hAnsi="Cambria Math"/>
        </w:rPr>
        <w:t>F</w:t>
      </w:r>
      <w:r>
        <w:rPr>
          <w:rFonts w:ascii="Cambria Math" w:hAnsi="Cambria Math"/>
        </w:rPr>
        <w:t>und</w:t>
      </w:r>
      <w:r w:rsidRPr="00355294">
        <w:rPr>
          <w:rFonts w:ascii="Cambria Math" w:hAnsi="Cambria Math"/>
        </w:rPr>
        <w:t>. (201</w:t>
      </w:r>
      <w:r>
        <w:rPr>
          <w:rFonts w:ascii="Cambria Math" w:hAnsi="Cambria Math"/>
        </w:rPr>
        <w:t>7</w:t>
      </w:r>
      <w:r w:rsidRPr="00355294">
        <w:rPr>
          <w:rFonts w:ascii="Cambria Math" w:hAnsi="Cambria Math"/>
        </w:rPr>
        <w:t xml:space="preserve">). </w:t>
      </w:r>
      <w:r w:rsidRPr="00FE7B47">
        <w:rPr>
          <w:rFonts w:ascii="Cambria Math" w:hAnsi="Cambria Math"/>
          <w:i/>
        </w:rPr>
        <w:t>World Economic Outlook: Seeking Sustainable Growth: Short-Term Recovery, Long-Term Challenges</w:t>
      </w:r>
      <w:r w:rsidRPr="00355294">
        <w:rPr>
          <w:rFonts w:ascii="Cambria Math" w:hAnsi="Cambria Math"/>
        </w:rPr>
        <w:t xml:space="preserve">. </w:t>
      </w:r>
      <w:r w:rsidR="00FE7B47">
        <w:rPr>
          <w:rFonts w:ascii="Cambria Math" w:hAnsi="Cambria Math"/>
        </w:rPr>
        <w:t>A</w:t>
      </w:r>
      <w:r w:rsidR="00FE7B47" w:rsidRPr="00FE7B47">
        <w:rPr>
          <w:rFonts w:ascii="Cambria Math" w:hAnsi="Cambria Math"/>
        </w:rPr>
        <w:t>vailable on the internet at</w:t>
      </w:r>
      <w:r w:rsidR="00FE7B47">
        <w:rPr>
          <w:rFonts w:ascii="Cambria Math" w:hAnsi="Cambria Math"/>
        </w:rPr>
        <w:t xml:space="preserve"> </w:t>
      </w:r>
      <w:hyperlink r:id="rId15" w:history="1">
        <w:r w:rsidRPr="00AE1CA7">
          <w:rPr>
            <w:rStyle w:val="Hyperlink"/>
            <w:rFonts w:ascii="Cambria Math" w:hAnsi="Cambria Math"/>
          </w:rPr>
          <w:t>https://www.imf.org/~/media/Files/Publications/WEO/2017/October/pdf/main-chapter/text.ashx?la=en</w:t>
        </w:r>
      </w:hyperlink>
      <w:r>
        <w:rPr>
          <w:rFonts w:ascii="Cambria Math" w:hAnsi="Cambria Math"/>
        </w:rPr>
        <w:t xml:space="preserve"> </w:t>
      </w:r>
      <w:r w:rsidR="00FE7B47">
        <w:rPr>
          <w:rFonts w:ascii="Cambria Math" w:hAnsi="Cambria Math"/>
        </w:rPr>
        <w:t>(Accessed</w:t>
      </w:r>
      <w:r>
        <w:rPr>
          <w:rFonts w:ascii="Cambria Math" w:hAnsi="Cambria Math"/>
        </w:rPr>
        <w:t xml:space="preserve"> 23 December 2017</w:t>
      </w:r>
      <w:r w:rsidR="00FE7B47">
        <w:rPr>
          <w:rFonts w:ascii="Cambria Math" w:hAnsi="Cambria Math"/>
        </w:rPr>
        <w:t>)</w:t>
      </w:r>
      <w:r w:rsidRPr="00355294">
        <w:rPr>
          <w:rFonts w:ascii="Cambria Math" w:hAnsi="Cambria Math"/>
        </w:rPr>
        <w:t>.</w:t>
      </w:r>
    </w:p>
    <w:p w:rsidR="006448F6" w:rsidRPr="006448F6" w:rsidRDefault="006448F6" w:rsidP="00355294">
      <w:pPr>
        <w:ind w:left="397" w:hanging="397"/>
        <w:jc w:val="both"/>
        <w:rPr>
          <w:rFonts w:ascii="Cambria Math" w:hAnsi="Cambria Math"/>
        </w:rPr>
      </w:pPr>
      <w:r w:rsidRPr="00C37BDC">
        <w:rPr>
          <w:rFonts w:ascii="Cambria Math" w:hAnsi="Cambria Math"/>
        </w:rPr>
        <w:t xml:space="preserve">Jamali, D., Karam, C., Yin, J. and Soundararajan, V. </w:t>
      </w:r>
      <w:r w:rsidR="00900722">
        <w:rPr>
          <w:rFonts w:ascii="Cambria Math" w:hAnsi="Cambria Math"/>
        </w:rPr>
        <w:t>(</w:t>
      </w:r>
      <w:r w:rsidRPr="00C37BDC">
        <w:rPr>
          <w:rFonts w:ascii="Cambria Math" w:hAnsi="Cambria Math"/>
        </w:rPr>
        <w:t>2017</w:t>
      </w:r>
      <w:r w:rsidR="00900722">
        <w:rPr>
          <w:rFonts w:ascii="Cambria Math" w:hAnsi="Cambria Math"/>
        </w:rPr>
        <w:t>)</w:t>
      </w:r>
      <w:r w:rsidRPr="00C37BDC">
        <w:rPr>
          <w:rFonts w:ascii="Cambria Math" w:hAnsi="Cambria Math"/>
        </w:rPr>
        <w:t>. CSR logics in developing countries: Translation, adaptation and stalled development. </w:t>
      </w:r>
      <w:r w:rsidRPr="00C37BDC">
        <w:rPr>
          <w:rFonts w:ascii="Cambria Math" w:hAnsi="Cambria Math"/>
          <w:i/>
        </w:rPr>
        <w:t>Journal of World Business.</w:t>
      </w:r>
      <w:r>
        <w:rPr>
          <w:rFonts w:ascii="Cambria Math" w:hAnsi="Cambria Math"/>
          <w:i/>
        </w:rPr>
        <w:t xml:space="preserve">, </w:t>
      </w:r>
      <w:r>
        <w:rPr>
          <w:rFonts w:ascii="Cambria Math" w:hAnsi="Cambria Math"/>
        </w:rPr>
        <w:t>52(3), 343-359.</w:t>
      </w:r>
    </w:p>
    <w:p w:rsidR="003A5328" w:rsidRDefault="003A5328" w:rsidP="005F1530">
      <w:pPr>
        <w:ind w:left="397" w:hanging="397"/>
        <w:jc w:val="both"/>
        <w:rPr>
          <w:rFonts w:ascii="Cambria Math" w:hAnsi="Cambria Math"/>
        </w:rPr>
      </w:pPr>
      <w:r>
        <w:rPr>
          <w:rFonts w:ascii="Cambria Math" w:hAnsi="Cambria Math"/>
        </w:rPr>
        <w:t>Sannassee</w:t>
      </w:r>
      <w:r w:rsidR="006152F5">
        <w:rPr>
          <w:rFonts w:ascii="Cambria Math" w:hAnsi="Cambria Math"/>
        </w:rPr>
        <w:t xml:space="preserve">, R.V., Soobaroyen T. and Pariag-Maraye, N. (2017). The accountability and management control of CSR Foundations (CRSFs)in Mauritius. </w:t>
      </w:r>
      <w:r w:rsidR="006152F5" w:rsidRPr="006152F5">
        <w:rPr>
          <w:rFonts w:ascii="Cambria Math" w:hAnsi="Cambria Math"/>
          <w:i/>
        </w:rPr>
        <w:t>CIMA Research Executive Summary</w:t>
      </w:r>
      <w:r w:rsidR="006152F5">
        <w:rPr>
          <w:rFonts w:ascii="Cambria Math" w:hAnsi="Cambria Math"/>
        </w:rPr>
        <w:t>, 13(4), 1-12.</w:t>
      </w:r>
    </w:p>
    <w:p w:rsidR="00DC006C" w:rsidRDefault="00DC006C" w:rsidP="005F1530">
      <w:pPr>
        <w:ind w:left="397" w:hanging="397"/>
        <w:jc w:val="both"/>
        <w:rPr>
          <w:rFonts w:ascii="Cambria Math" w:hAnsi="Cambria Math"/>
        </w:rPr>
      </w:pPr>
      <w:r w:rsidRPr="00DC006C">
        <w:rPr>
          <w:rFonts w:ascii="Cambria Math" w:hAnsi="Cambria Math"/>
        </w:rPr>
        <w:t>UN, General Assembly</w:t>
      </w:r>
      <w:r>
        <w:rPr>
          <w:rFonts w:ascii="Cambria Math" w:hAnsi="Cambria Math"/>
        </w:rPr>
        <w:t xml:space="preserve"> (2015)</w:t>
      </w:r>
      <w:r w:rsidRPr="00DC006C">
        <w:rPr>
          <w:rFonts w:ascii="Cambria Math" w:hAnsi="Cambria Math"/>
        </w:rPr>
        <w:t xml:space="preserve">. </w:t>
      </w:r>
      <w:r w:rsidRPr="00DC006C">
        <w:rPr>
          <w:rFonts w:ascii="Cambria Math" w:hAnsi="Cambria Math"/>
          <w:i/>
        </w:rPr>
        <w:t>Transforming our world: The 2030 agenda for sustainable development. A/RES/70/1</w:t>
      </w:r>
      <w:r>
        <w:rPr>
          <w:rFonts w:ascii="Cambria Math" w:hAnsi="Cambria Math"/>
        </w:rPr>
        <w:t>.</w:t>
      </w:r>
      <w:r w:rsidRPr="00DC006C">
        <w:rPr>
          <w:rFonts w:ascii="Cambria Math" w:hAnsi="Cambria Math"/>
        </w:rPr>
        <w:t xml:space="preserve"> </w:t>
      </w:r>
      <w:r>
        <w:rPr>
          <w:rFonts w:ascii="Cambria Math" w:hAnsi="Cambria Math"/>
        </w:rPr>
        <w:t>A</w:t>
      </w:r>
      <w:r w:rsidRPr="00FE7B47">
        <w:rPr>
          <w:rFonts w:ascii="Cambria Math" w:hAnsi="Cambria Math"/>
        </w:rPr>
        <w:t>vailable on the internet at</w:t>
      </w:r>
      <w:r>
        <w:rPr>
          <w:rFonts w:ascii="Cambria Math" w:hAnsi="Cambria Math"/>
        </w:rPr>
        <w:t xml:space="preserve"> </w:t>
      </w:r>
      <w:hyperlink r:id="rId16" w:history="1">
        <w:r w:rsidRPr="00AE1CA7">
          <w:rPr>
            <w:rStyle w:val="Hyperlink"/>
            <w:rFonts w:ascii="Cambria Math" w:hAnsi="Cambria Math"/>
          </w:rPr>
          <w:t>http://www.un.org/ga/search/view_doc.asp?symbol=A/RES/70/1&amp;Lang=E</w:t>
        </w:r>
      </w:hyperlink>
      <w:r>
        <w:rPr>
          <w:rFonts w:ascii="Cambria Math" w:hAnsi="Cambria Math"/>
        </w:rPr>
        <w:t xml:space="preserve"> (Accessed 23 December 2017)</w:t>
      </w:r>
      <w:r w:rsidRPr="00355294">
        <w:rPr>
          <w:rFonts w:ascii="Cambria Math" w:hAnsi="Cambria Math"/>
        </w:rPr>
        <w:t>.</w:t>
      </w:r>
    </w:p>
    <w:p w:rsidR="00EF1FD2" w:rsidRDefault="00422985" w:rsidP="008F24A9">
      <w:pPr>
        <w:ind w:left="397" w:hanging="397"/>
        <w:jc w:val="both"/>
        <w:rPr>
          <w:rFonts w:ascii="Cambria Math" w:hAnsi="Cambria Math"/>
        </w:rPr>
      </w:pPr>
      <w:r w:rsidRPr="00422985">
        <w:rPr>
          <w:rFonts w:ascii="Cambria Math" w:hAnsi="Cambria Math"/>
        </w:rPr>
        <w:t>Zhao, M., Tan, J., &amp; Park, S. H. (2014). From Voids to Sophistication: Institutional Environment and MNC CSR Crisis in Emerging Markets</w:t>
      </w:r>
      <w:r w:rsidRPr="009247EF">
        <w:rPr>
          <w:rFonts w:ascii="Cambria Math" w:hAnsi="Cambria Math"/>
          <w:i/>
        </w:rPr>
        <w:t>. Journal of Business Ethics</w:t>
      </w:r>
      <w:r w:rsidRPr="00422985">
        <w:rPr>
          <w:rFonts w:ascii="Cambria Math" w:hAnsi="Cambria Math"/>
        </w:rPr>
        <w:t>, 122(4), 655-674.</w:t>
      </w:r>
    </w:p>
    <w:p w:rsidR="00EF1FD2" w:rsidRPr="00884093" w:rsidRDefault="00EF1FD2" w:rsidP="00EF1FD2">
      <w:pPr>
        <w:jc w:val="both"/>
        <w:rPr>
          <w:rFonts w:ascii="Cambria Math" w:hAnsi="Cambria Math"/>
        </w:rPr>
      </w:pPr>
    </w:p>
    <w:sectPr w:rsidR="00EF1FD2" w:rsidRPr="00884093" w:rsidSect="00F51D4B">
      <w:footerReference w:type="default" r:id="rId17"/>
      <w:footnotePr>
        <w:numFmt w:val="chicago"/>
        <w:numStart w:val="2"/>
      </w:footnotePr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22E7" w:rsidRDefault="008122E7" w:rsidP="005F1530">
      <w:r>
        <w:separator/>
      </w:r>
    </w:p>
  </w:endnote>
  <w:endnote w:type="continuationSeparator" w:id="0">
    <w:p w:rsidR="008122E7" w:rsidRDefault="008122E7" w:rsidP="005F1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Vrinda">
    <w:panose1 w:val="020B0604020202020204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Cambria Math" w:hAnsi="Cambria Math"/>
        <w:sz w:val="20"/>
        <w:szCs w:val="20"/>
      </w:rPr>
      <w:id w:val="17404452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47403" w:rsidRPr="005F1530" w:rsidRDefault="00C47403">
        <w:pPr>
          <w:pStyle w:val="Fuzeile"/>
          <w:jc w:val="right"/>
          <w:rPr>
            <w:rFonts w:ascii="Cambria Math" w:hAnsi="Cambria Math"/>
            <w:sz w:val="20"/>
            <w:szCs w:val="20"/>
          </w:rPr>
        </w:pPr>
        <w:r w:rsidRPr="005F1530">
          <w:rPr>
            <w:rFonts w:ascii="Cambria Math" w:hAnsi="Cambria Math"/>
            <w:sz w:val="20"/>
            <w:szCs w:val="20"/>
          </w:rPr>
          <w:fldChar w:fldCharType="begin"/>
        </w:r>
        <w:r w:rsidRPr="005F1530">
          <w:rPr>
            <w:rFonts w:ascii="Cambria Math" w:hAnsi="Cambria Math"/>
            <w:sz w:val="20"/>
            <w:szCs w:val="20"/>
          </w:rPr>
          <w:instrText xml:space="preserve"> PAGE   \* MERGEFORMAT </w:instrText>
        </w:r>
        <w:r w:rsidRPr="005F1530">
          <w:rPr>
            <w:rFonts w:ascii="Cambria Math" w:hAnsi="Cambria Math"/>
            <w:sz w:val="20"/>
            <w:szCs w:val="20"/>
          </w:rPr>
          <w:fldChar w:fldCharType="separate"/>
        </w:r>
        <w:r w:rsidR="00FB3BEC">
          <w:rPr>
            <w:rFonts w:ascii="Cambria Math" w:hAnsi="Cambria Math"/>
            <w:noProof/>
            <w:sz w:val="20"/>
            <w:szCs w:val="20"/>
          </w:rPr>
          <w:t>2</w:t>
        </w:r>
        <w:r w:rsidRPr="005F1530">
          <w:rPr>
            <w:rFonts w:ascii="Cambria Math" w:hAnsi="Cambria Math"/>
            <w:noProof/>
            <w:sz w:val="20"/>
            <w:szCs w:val="20"/>
          </w:rPr>
          <w:fldChar w:fldCharType="end"/>
        </w:r>
      </w:p>
    </w:sdtContent>
  </w:sdt>
  <w:p w:rsidR="00C47403" w:rsidRDefault="00C474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22E7" w:rsidRDefault="008122E7" w:rsidP="005F1530">
      <w:r>
        <w:separator/>
      </w:r>
    </w:p>
  </w:footnote>
  <w:footnote w:type="continuationSeparator" w:id="0">
    <w:p w:rsidR="008122E7" w:rsidRDefault="008122E7" w:rsidP="005F1530">
      <w:r>
        <w:continuationSeparator/>
      </w:r>
    </w:p>
  </w:footnote>
  <w:footnote w:id="1">
    <w:p w:rsidR="004704CA" w:rsidRPr="004704CA" w:rsidRDefault="004704CA" w:rsidP="004704CA">
      <w:pPr>
        <w:pStyle w:val="Funotentext"/>
        <w:jc w:val="both"/>
        <w:rPr>
          <w:rFonts w:ascii="Cambria Math" w:hAnsi="Cambria Math"/>
        </w:rPr>
      </w:pPr>
      <w:r w:rsidRPr="004704CA">
        <w:rPr>
          <w:rStyle w:val="Funotenzeichen"/>
          <w:rFonts w:ascii="Cambria Math" w:hAnsi="Cambria Math"/>
        </w:rPr>
        <w:footnoteRef/>
      </w:r>
      <w:r w:rsidRPr="004704CA">
        <w:rPr>
          <w:rFonts w:ascii="Cambria Math" w:hAnsi="Cambria Math"/>
        </w:rPr>
        <w:t xml:space="preserve"> By </w:t>
      </w:r>
      <w:r w:rsidRPr="004704CA">
        <w:rPr>
          <w:rFonts w:ascii="Cambria Math" w:hAnsi="Cambria Math"/>
          <w:i/>
        </w:rPr>
        <w:t>Emerging &amp; Developing Economies</w:t>
      </w:r>
      <w:r w:rsidRPr="004704CA">
        <w:rPr>
          <w:rFonts w:ascii="Cambria Math" w:hAnsi="Cambria Math"/>
        </w:rPr>
        <w:t xml:space="preserve"> we refer to all national economies</w:t>
      </w:r>
      <w:r w:rsidR="00B046C5">
        <w:rPr>
          <w:rFonts w:ascii="Cambria Math" w:hAnsi="Cambria Math"/>
        </w:rPr>
        <w:t xml:space="preserve">, excluding </w:t>
      </w:r>
      <w:r w:rsidRPr="004704CA">
        <w:rPr>
          <w:rFonts w:ascii="Cambria Math" w:hAnsi="Cambria Math"/>
        </w:rPr>
        <w:t>those commonly identified as “Advanced Economies”</w:t>
      </w:r>
      <w:r w:rsidR="00B046C5">
        <w:rPr>
          <w:rFonts w:ascii="Cambria Math" w:hAnsi="Cambria Math"/>
        </w:rPr>
        <w:t xml:space="preserve"> by the International Monetary Fund (IMF). A</w:t>
      </w:r>
      <w:r w:rsidRPr="004704CA">
        <w:rPr>
          <w:rFonts w:ascii="Cambria Math" w:hAnsi="Cambria Math"/>
        </w:rPr>
        <w:t>n indicative list can be found in IMF (2017, pg. 222-223 Tables B &amp; D)]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34B70"/>
    <w:multiLevelType w:val="hybridMultilevel"/>
    <w:tmpl w:val="90407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E5EB1"/>
    <w:multiLevelType w:val="hybridMultilevel"/>
    <w:tmpl w:val="D2AE03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6F1102"/>
    <w:multiLevelType w:val="hybridMultilevel"/>
    <w:tmpl w:val="6E1E0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hideSpellingErrors/>
  <w:hideGrammaticalErrors/>
  <w:defaultTabStop w:val="720"/>
  <w:hyphenationZone w:val="425"/>
  <w:characterSpacingControl w:val="doNotCompress"/>
  <w:footnotePr>
    <w:numFmt w:val="chicago"/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4B"/>
    <w:rsid w:val="000242F7"/>
    <w:rsid w:val="00072D29"/>
    <w:rsid w:val="000757B9"/>
    <w:rsid w:val="00076A83"/>
    <w:rsid w:val="000869A5"/>
    <w:rsid w:val="00091E5A"/>
    <w:rsid w:val="000F04AA"/>
    <w:rsid w:val="00130958"/>
    <w:rsid w:val="001407CB"/>
    <w:rsid w:val="00150262"/>
    <w:rsid w:val="001534B2"/>
    <w:rsid w:val="001543B6"/>
    <w:rsid w:val="001902A1"/>
    <w:rsid w:val="001A0EA3"/>
    <w:rsid w:val="001A5AB0"/>
    <w:rsid w:val="001B28FF"/>
    <w:rsid w:val="001B3222"/>
    <w:rsid w:val="001B566D"/>
    <w:rsid w:val="001E5F06"/>
    <w:rsid w:val="0021225D"/>
    <w:rsid w:val="002419D7"/>
    <w:rsid w:val="0027772D"/>
    <w:rsid w:val="00281E42"/>
    <w:rsid w:val="0031068E"/>
    <w:rsid w:val="00333A77"/>
    <w:rsid w:val="00334BE3"/>
    <w:rsid w:val="00355294"/>
    <w:rsid w:val="00381858"/>
    <w:rsid w:val="00383FF6"/>
    <w:rsid w:val="003A0F19"/>
    <w:rsid w:val="003A5328"/>
    <w:rsid w:val="003B6A46"/>
    <w:rsid w:val="003D1D50"/>
    <w:rsid w:val="003D3A3A"/>
    <w:rsid w:val="00422985"/>
    <w:rsid w:val="00435597"/>
    <w:rsid w:val="004704CA"/>
    <w:rsid w:val="004A5847"/>
    <w:rsid w:val="004E2B55"/>
    <w:rsid w:val="004F2B30"/>
    <w:rsid w:val="0050080E"/>
    <w:rsid w:val="00581CC7"/>
    <w:rsid w:val="005866FC"/>
    <w:rsid w:val="00594BB4"/>
    <w:rsid w:val="005A10AE"/>
    <w:rsid w:val="005A3E0B"/>
    <w:rsid w:val="005D319B"/>
    <w:rsid w:val="005E69B4"/>
    <w:rsid w:val="005F1530"/>
    <w:rsid w:val="00611397"/>
    <w:rsid w:val="006152F5"/>
    <w:rsid w:val="006448F6"/>
    <w:rsid w:val="00657E20"/>
    <w:rsid w:val="00662D53"/>
    <w:rsid w:val="006864B6"/>
    <w:rsid w:val="006D6B55"/>
    <w:rsid w:val="006E7268"/>
    <w:rsid w:val="006F63DC"/>
    <w:rsid w:val="0073234A"/>
    <w:rsid w:val="0075665B"/>
    <w:rsid w:val="00764C29"/>
    <w:rsid w:val="007675C3"/>
    <w:rsid w:val="00773644"/>
    <w:rsid w:val="00774EC5"/>
    <w:rsid w:val="00787048"/>
    <w:rsid w:val="007C2B63"/>
    <w:rsid w:val="007C74C8"/>
    <w:rsid w:val="008122E7"/>
    <w:rsid w:val="00821A06"/>
    <w:rsid w:val="0082691C"/>
    <w:rsid w:val="008453AF"/>
    <w:rsid w:val="0085504B"/>
    <w:rsid w:val="00856696"/>
    <w:rsid w:val="00884093"/>
    <w:rsid w:val="008B2B14"/>
    <w:rsid w:val="008D7883"/>
    <w:rsid w:val="008F24A9"/>
    <w:rsid w:val="00900722"/>
    <w:rsid w:val="00905B9D"/>
    <w:rsid w:val="00923EBE"/>
    <w:rsid w:val="009247EF"/>
    <w:rsid w:val="00941305"/>
    <w:rsid w:val="0095249E"/>
    <w:rsid w:val="00966C65"/>
    <w:rsid w:val="0096788F"/>
    <w:rsid w:val="009739BB"/>
    <w:rsid w:val="009A5C18"/>
    <w:rsid w:val="009C7854"/>
    <w:rsid w:val="009E620E"/>
    <w:rsid w:val="00A100D5"/>
    <w:rsid w:val="00A725FE"/>
    <w:rsid w:val="00A8242D"/>
    <w:rsid w:val="00A933A8"/>
    <w:rsid w:val="00A95266"/>
    <w:rsid w:val="00AB5DE7"/>
    <w:rsid w:val="00AE3640"/>
    <w:rsid w:val="00AF09C4"/>
    <w:rsid w:val="00AF1EBA"/>
    <w:rsid w:val="00B046C5"/>
    <w:rsid w:val="00B23750"/>
    <w:rsid w:val="00B26DF8"/>
    <w:rsid w:val="00B30E1C"/>
    <w:rsid w:val="00B543C6"/>
    <w:rsid w:val="00BB12B0"/>
    <w:rsid w:val="00BD0DEA"/>
    <w:rsid w:val="00BE4FD5"/>
    <w:rsid w:val="00C12896"/>
    <w:rsid w:val="00C128ED"/>
    <w:rsid w:val="00C24AF5"/>
    <w:rsid w:val="00C331D0"/>
    <w:rsid w:val="00C37BDC"/>
    <w:rsid w:val="00C42BF3"/>
    <w:rsid w:val="00C47403"/>
    <w:rsid w:val="00C748DB"/>
    <w:rsid w:val="00C83897"/>
    <w:rsid w:val="00C9039D"/>
    <w:rsid w:val="00C926EF"/>
    <w:rsid w:val="00C9323B"/>
    <w:rsid w:val="00C94D22"/>
    <w:rsid w:val="00C97670"/>
    <w:rsid w:val="00CA2C65"/>
    <w:rsid w:val="00CB5A55"/>
    <w:rsid w:val="00CC1A74"/>
    <w:rsid w:val="00CC5331"/>
    <w:rsid w:val="00CD62C2"/>
    <w:rsid w:val="00CD699F"/>
    <w:rsid w:val="00CF2942"/>
    <w:rsid w:val="00D045CB"/>
    <w:rsid w:val="00D04A97"/>
    <w:rsid w:val="00D41274"/>
    <w:rsid w:val="00D4199B"/>
    <w:rsid w:val="00D4580B"/>
    <w:rsid w:val="00D80CE1"/>
    <w:rsid w:val="00DA2A7A"/>
    <w:rsid w:val="00DC006C"/>
    <w:rsid w:val="00DE6018"/>
    <w:rsid w:val="00DF78D0"/>
    <w:rsid w:val="00E1266C"/>
    <w:rsid w:val="00E20AD3"/>
    <w:rsid w:val="00E3791F"/>
    <w:rsid w:val="00E47A50"/>
    <w:rsid w:val="00E57CAE"/>
    <w:rsid w:val="00E62023"/>
    <w:rsid w:val="00E7028D"/>
    <w:rsid w:val="00E7384A"/>
    <w:rsid w:val="00E835F5"/>
    <w:rsid w:val="00EA6EE6"/>
    <w:rsid w:val="00EF1FD2"/>
    <w:rsid w:val="00EF32A6"/>
    <w:rsid w:val="00F00B09"/>
    <w:rsid w:val="00F05221"/>
    <w:rsid w:val="00F104B6"/>
    <w:rsid w:val="00F2153A"/>
    <w:rsid w:val="00F25ECD"/>
    <w:rsid w:val="00F439F0"/>
    <w:rsid w:val="00F44E0D"/>
    <w:rsid w:val="00F51D4B"/>
    <w:rsid w:val="00F66672"/>
    <w:rsid w:val="00F93700"/>
    <w:rsid w:val="00FB33AB"/>
    <w:rsid w:val="00FB3BEC"/>
    <w:rsid w:val="00FD1DE4"/>
    <w:rsid w:val="00FD2EFB"/>
    <w:rsid w:val="00FE7B47"/>
    <w:rsid w:val="00FF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CC4191-8023-DB46-82C7-4E42094B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F51D4B"/>
    <w:pPr>
      <w:spacing w:after="0" w:line="240" w:lineRule="auto"/>
    </w:pPr>
    <w:rPr>
      <w:sz w:val="24"/>
      <w:szCs w:val="24"/>
    </w:rPr>
  </w:style>
  <w:style w:type="paragraph" w:styleId="berschrift3">
    <w:name w:val="heading 3"/>
    <w:basedOn w:val="Standard"/>
    <w:link w:val="berschrift3Zchn"/>
    <w:uiPriority w:val="9"/>
    <w:qFormat/>
    <w:rsid w:val="005F153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F51D4B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F51D4B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923EBE"/>
    <w:rPr>
      <w:color w:val="800080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F1530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Kopfzeile">
    <w:name w:val="header"/>
    <w:basedOn w:val="Standard"/>
    <w:link w:val="KopfzeileZchn"/>
    <w:uiPriority w:val="99"/>
    <w:unhideWhenUsed/>
    <w:rsid w:val="005F1530"/>
    <w:pPr>
      <w:tabs>
        <w:tab w:val="center" w:pos="4513"/>
        <w:tab w:val="right" w:pos="902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1530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5F1530"/>
    <w:pPr>
      <w:tabs>
        <w:tab w:val="center" w:pos="4513"/>
        <w:tab w:val="right" w:pos="902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1530"/>
    <w:rPr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4704CA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4704C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4704CA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48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48F6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B5A5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B5A5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B5A5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B5A5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B5A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2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7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baboukardos@essex.ac.uk" TargetMode="External"/><Relationship Id="rId13" Type="http://schemas.openxmlformats.org/officeDocument/2006/relationships/hyperlink" Target="http://www.emeraldgrouppublishing.com/products/journals/author_guidelines.htm?id=sampj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c.manuscriptcentral.com/samp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un.org/ga/search/view_doc.asp?symbol=A/RES/70/1&amp;Lang=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ssex.ac.uk/events/2018/06/28/aaee-conference-20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mf.org/~/media/Files/Publications/WEO/2017/October/pdf/main-chapter/text.ashx?la=en" TargetMode="External"/><Relationship Id="rId10" Type="http://schemas.openxmlformats.org/officeDocument/2006/relationships/hyperlink" Target="mailto:tsooba@essex.ac.uk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.S.Beddewela@hud.ac.uk" TargetMode="External"/><Relationship Id="rId14" Type="http://schemas.openxmlformats.org/officeDocument/2006/relationships/hyperlink" Target="mailto:d.baboukardos@essex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00DFAC-A2EC-4346-B0A3-E4A76B6A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1554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Essex</Company>
  <LinksUpToDate>false</LinksUpToDate>
  <CharactersWithSpaces>11329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Baboukardos, Diogenis</dc:creator>
  <cp:lastModifiedBy>Dinh, Tami</cp:lastModifiedBy>
  <cp:revision>2</cp:revision>
  <cp:lastPrinted>2018-02-12T16:25:00Z</cp:lastPrinted>
  <dcterms:created xsi:type="dcterms:W3CDTF">2018-03-16T10:35:00Z</dcterms:created>
  <dcterms:modified xsi:type="dcterms:W3CDTF">2018-03-16T10:35:00Z</dcterms:modified>
</cp:coreProperties>
</file>